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C1B54F" w14:textId="77777777" w:rsidR="000C5103" w:rsidRDefault="000C5103" w:rsidP="000C5103">
      <w:pPr>
        <w:pStyle w:val="zSoquijdatRepertorie"/>
        <w:rPr>
          <w:lang w:val="en-CA"/>
        </w:rPr>
      </w:pPr>
      <w:bookmarkStart w:id="0" w:name="_GoBack"/>
      <w:bookmarkEnd w:id="0"/>
      <w:r>
        <w:rPr>
          <w:lang w:val="en-CA"/>
        </w:rPr>
        <w:t>Unofficial English Translation of the Judgment of the Court</w:t>
      </w:r>
    </w:p>
    <w:tbl>
      <w:tblPr>
        <w:tblW w:w="9360" w:type="dxa"/>
        <w:tblLayout w:type="fixed"/>
        <w:tblCellMar>
          <w:left w:w="0" w:type="dxa"/>
          <w:right w:w="0" w:type="dxa"/>
        </w:tblCellMar>
        <w:tblLook w:val="0000" w:firstRow="0" w:lastRow="0" w:firstColumn="0" w:lastColumn="0" w:noHBand="0" w:noVBand="0"/>
      </w:tblPr>
      <w:tblGrid>
        <w:gridCol w:w="1030"/>
        <w:gridCol w:w="590"/>
        <w:gridCol w:w="81"/>
        <w:gridCol w:w="2269"/>
        <w:gridCol w:w="3402"/>
        <w:gridCol w:w="1988"/>
      </w:tblGrid>
      <w:tr w:rsidR="004A6BD6" w14:paraId="3B05DA00" w14:textId="77777777" w:rsidTr="008D18FC">
        <w:trPr>
          <w:trHeight w:val="248"/>
        </w:trPr>
        <w:tc>
          <w:tcPr>
            <w:tcW w:w="7372" w:type="dxa"/>
            <w:gridSpan w:val="5"/>
          </w:tcPr>
          <w:p w14:paraId="59268D79" w14:textId="25B410E2" w:rsidR="004A6BD6" w:rsidRPr="00EF7404" w:rsidRDefault="004A6BD6" w:rsidP="004A6BD6">
            <w:pPr>
              <w:pStyle w:val="zSoquijdatRepertorie"/>
              <w:rPr>
                <w:lang w:val="en-CA"/>
              </w:rPr>
            </w:pPr>
            <w:r>
              <w:rPr>
                <w:rFonts w:cs="Arial"/>
              </w:rPr>
              <w:t>Breault c. R.</w:t>
            </w:r>
          </w:p>
        </w:tc>
        <w:tc>
          <w:tcPr>
            <w:tcW w:w="1988" w:type="dxa"/>
          </w:tcPr>
          <w:p w14:paraId="370E4F52" w14:textId="07F872F7" w:rsidR="004A6BD6" w:rsidRPr="00EF7404" w:rsidRDefault="004A6BD6" w:rsidP="004A6BD6">
            <w:pPr>
              <w:pStyle w:val="zSoquijdatRefNeutre"/>
              <w:jc w:val="right"/>
              <w:rPr>
                <w:lang w:val="en-CA"/>
              </w:rPr>
            </w:pPr>
            <w:r w:rsidRPr="009F340F">
              <w:rPr>
                <w:rFonts w:cs="Arial"/>
              </w:rPr>
              <w:t>2021 QCCA 505</w:t>
            </w:r>
          </w:p>
        </w:tc>
      </w:tr>
      <w:tr w:rsidR="00581844" w14:paraId="265E8B5E" w14:textId="77777777" w:rsidTr="008D18FC">
        <w:trPr>
          <w:trHeight w:val="247"/>
        </w:trPr>
        <w:tc>
          <w:tcPr>
            <w:tcW w:w="9360" w:type="dxa"/>
            <w:gridSpan w:val="6"/>
          </w:tcPr>
          <w:p w14:paraId="6A890A57" w14:textId="77777777" w:rsidR="008F364A" w:rsidRPr="00EF7404" w:rsidRDefault="004A6BD6">
            <w:pPr>
              <w:pStyle w:val="zSoquijlblCour"/>
              <w:rPr>
                <w:lang w:val="en-CA"/>
              </w:rPr>
            </w:pPr>
            <w:r w:rsidRPr="00EF7404">
              <w:rPr>
                <w:bCs/>
                <w:lang w:val="en-CA"/>
              </w:rPr>
              <w:t>COURT OF APPEAL</w:t>
            </w:r>
          </w:p>
        </w:tc>
      </w:tr>
      <w:tr w:rsidR="00581844" w14:paraId="10592ABF" w14:textId="77777777" w:rsidTr="008D18FC">
        <w:trPr>
          <w:trHeight w:val="540"/>
        </w:trPr>
        <w:tc>
          <w:tcPr>
            <w:tcW w:w="9360" w:type="dxa"/>
            <w:gridSpan w:val="6"/>
          </w:tcPr>
          <w:p w14:paraId="14154DDF" w14:textId="77777777" w:rsidR="008F364A" w:rsidRPr="00EF7404" w:rsidRDefault="008F364A">
            <w:pPr>
              <w:pStyle w:val="zSoquijdatDivision"/>
              <w:rPr>
                <w:lang w:val="en-CA"/>
              </w:rPr>
            </w:pPr>
          </w:p>
        </w:tc>
      </w:tr>
      <w:tr w:rsidR="00581844" w14:paraId="1E1294EC" w14:textId="77777777" w:rsidTr="008D18FC">
        <w:tc>
          <w:tcPr>
            <w:tcW w:w="9360" w:type="dxa"/>
            <w:gridSpan w:val="6"/>
          </w:tcPr>
          <w:p w14:paraId="47C9A6D8" w14:textId="77777777" w:rsidR="008F364A" w:rsidRPr="00EF7404" w:rsidRDefault="004A6BD6">
            <w:pPr>
              <w:pStyle w:val="zSoquijlblPays"/>
              <w:rPr>
                <w:lang w:val="en-CA"/>
              </w:rPr>
            </w:pPr>
            <w:r w:rsidRPr="00EF7404">
              <w:rPr>
                <w:lang w:val="en-CA"/>
              </w:rPr>
              <w:t>CANADA</w:t>
            </w:r>
          </w:p>
        </w:tc>
      </w:tr>
      <w:tr w:rsidR="00581844" w14:paraId="5F1BFC94" w14:textId="77777777" w:rsidTr="008D18FC">
        <w:tc>
          <w:tcPr>
            <w:tcW w:w="9360" w:type="dxa"/>
            <w:gridSpan w:val="6"/>
          </w:tcPr>
          <w:p w14:paraId="49E7DD27" w14:textId="77777777" w:rsidR="008F364A" w:rsidRPr="00EF7404" w:rsidRDefault="004A6BD6">
            <w:pPr>
              <w:pStyle w:val="zSoquijlblProvince"/>
              <w:rPr>
                <w:lang w:val="en-CA"/>
              </w:rPr>
            </w:pPr>
            <w:r w:rsidRPr="00EF7404">
              <w:rPr>
                <w:lang w:val="en-CA"/>
              </w:rPr>
              <w:t>PROVINCE OF QUEBEC</w:t>
            </w:r>
          </w:p>
        </w:tc>
      </w:tr>
      <w:tr w:rsidR="00581844" w14:paraId="249BB415" w14:textId="77777777" w:rsidTr="00EF7404">
        <w:tc>
          <w:tcPr>
            <w:tcW w:w="1701" w:type="dxa"/>
            <w:gridSpan w:val="3"/>
          </w:tcPr>
          <w:p w14:paraId="4FB5AAAF" w14:textId="77777777" w:rsidR="008F364A" w:rsidRPr="00EF7404" w:rsidRDefault="004A6BD6">
            <w:pPr>
              <w:pStyle w:val="zSoquijlblGreffe"/>
              <w:rPr>
                <w:lang w:val="en-CA"/>
              </w:rPr>
            </w:pPr>
            <w:r w:rsidRPr="00EF7404">
              <w:rPr>
                <w:lang w:val="en-CA"/>
              </w:rPr>
              <w:t>REGISTRY OF</w:t>
            </w:r>
          </w:p>
          <w:p w14:paraId="0761CB27" w14:textId="77777777" w:rsidR="008F364A" w:rsidRPr="00EF7404" w:rsidRDefault="008F364A">
            <w:pPr>
              <w:pStyle w:val="zSoquijlblGreffe"/>
              <w:rPr>
                <w:lang w:val="en-CA"/>
              </w:rPr>
            </w:pPr>
          </w:p>
        </w:tc>
        <w:tc>
          <w:tcPr>
            <w:tcW w:w="7659" w:type="dxa"/>
            <w:gridSpan w:val="3"/>
          </w:tcPr>
          <w:p w14:paraId="4DBB46E6" w14:textId="77777777" w:rsidR="008F364A" w:rsidRPr="00EF7404" w:rsidRDefault="004A6BD6">
            <w:pPr>
              <w:pStyle w:val="zSoquijdatGreffe"/>
              <w:rPr>
                <w:lang w:val="en-CA"/>
              </w:rPr>
            </w:pPr>
            <w:bookmarkStart w:id="1" w:name="NomGreffe"/>
            <w:r w:rsidRPr="00EF7404">
              <w:rPr>
                <w:lang w:val="en-CA"/>
              </w:rPr>
              <w:t>QUEBEC</w:t>
            </w:r>
            <w:bookmarkEnd w:id="1"/>
          </w:p>
        </w:tc>
      </w:tr>
      <w:tr w:rsidR="00581844" w14:paraId="44FA91F5" w14:textId="77777777" w:rsidTr="008D18FC">
        <w:tc>
          <w:tcPr>
            <w:tcW w:w="1030" w:type="dxa"/>
          </w:tcPr>
          <w:p w14:paraId="04584AE5" w14:textId="77777777" w:rsidR="008F364A" w:rsidRPr="00EF7404" w:rsidRDefault="004A6BD6">
            <w:pPr>
              <w:pStyle w:val="zSoquijlblNoDossier"/>
              <w:rPr>
                <w:lang w:val="en-CA"/>
              </w:rPr>
            </w:pPr>
            <w:r w:rsidRPr="00EF7404">
              <w:rPr>
                <w:lang w:val="en-CA"/>
              </w:rPr>
              <w:t>No.:</w:t>
            </w:r>
          </w:p>
        </w:tc>
        <w:tc>
          <w:tcPr>
            <w:tcW w:w="8330" w:type="dxa"/>
            <w:gridSpan w:val="5"/>
          </w:tcPr>
          <w:p w14:paraId="4A3DEEAF" w14:textId="77777777" w:rsidR="008F364A" w:rsidRPr="00EF7404" w:rsidRDefault="004A6BD6">
            <w:pPr>
              <w:pStyle w:val="zSoquijdatNoDossier"/>
              <w:rPr>
                <w:lang w:val="en-CA"/>
              </w:rPr>
            </w:pPr>
            <w:bookmarkStart w:id="2" w:name="NoDossier"/>
            <w:r w:rsidRPr="00EF7404">
              <w:rPr>
                <w:lang w:val="en-CA"/>
              </w:rPr>
              <w:t>200-10-003742-207</w:t>
            </w:r>
            <w:bookmarkEnd w:id="2"/>
          </w:p>
        </w:tc>
      </w:tr>
      <w:tr w:rsidR="00581844" w14:paraId="1CC671CA" w14:textId="77777777" w:rsidTr="008D18FC">
        <w:tc>
          <w:tcPr>
            <w:tcW w:w="9360" w:type="dxa"/>
            <w:gridSpan w:val="6"/>
          </w:tcPr>
          <w:p w14:paraId="5BBE2A6F" w14:textId="77777777" w:rsidR="001216D3" w:rsidRPr="00EF7404" w:rsidRDefault="004A6BD6" w:rsidP="001216D3">
            <w:pPr>
              <w:pStyle w:val="zSoquijdatNoDossierAnt"/>
              <w:rPr>
                <w:lang w:val="en-CA"/>
              </w:rPr>
            </w:pPr>
            <w:r w:rsidRPr="00EF7404">
              <w:rPr>
                <w:lang w:val="en-CA"/>
              </w:rPr>
              <w:t>(200-36-002866-192) (CM 17CC011136)</w:t>
            </w:r>
          </w:p>
          <w:p w14:paraId="296EDAA3" w14:textId="77777777" w:rsidR="001216D3" w:rsidRPr="00EF7404" w:rsidRDefault="001216D3" w:rsidP="00407ABA">
            <w:pPr>
              <w:pStyle w:val="zSoquijdatNoDossierAnt"/>
              <w:rPr>
                <w:lang w:val="en-CA"/>
              </w:rPr>
            </w:pPr>
          </w:p>
        </w:tc>
      </w:tr>
      <w:tr w:rsidR="00581844" w14:paraId="43CCCF79" w14:textId="77777777" w:rsidTr="008D18FC">
        <w:tc>
          <w:tcPr>
            <w:tcW w:w="9360" w:type="dxa"/>
            <w:gridSpan w:val="6"/>
          </w:tcPr>
          <w:p w14:paraId="04080C4E" w14:textId="77777777" w:rsidR="008F364A" w:rsidRPr="00EF7404" w:rsidRDefault="008F364A">
            <w:pPr>
              <w:rPr>
                <w:lang w:val="en-CA"/>
              </w:rPr>
            </w:pPr>
          </w:p>
        </w:tc>
      </w:tr>
      <w:tr w:rsidR="00581844" w14:paraId="28C4F50B" w14:textId="77777777" w:rsidTr="008D18FC">
        <w:tc>
          <w:tcPr>
            <w:tcW w:w="1030" w:type="dxa"/>
          </w:tcPr>
          <w:p w14:paraId="23402535" w14:textId="77777777" w:rsidR="008F364A" w:rsidRPr="00EF7404" w:rsidRDefault="004A6BD6">
            <w:pPr>
              <w:pStyle w:val="zSoquijlblDateJugement"/>
              <w:rPr>
                <w:lang w:val="en-CA"/>
              </w:rPr>
            </w:pPr>
            <w:r w:rsidRPr="00EF7404">
              <w:rPr>
                <w:lang w:val="en-CA"/>
              </w:rPr>
              <w:t>DATE:</w:t>
            </w:r>
          </w:p>
        </w:tc>
        <w:tc>
          <w:tcPr>
            <w:tcW w:w="8330" w:type="dxa"/>
            <w:gridSpan w:val="5"/>
          </w:tcPr>
          <w:p w14:paraId="6EE02A55" w14:textId="1BAC778A" w:rsidR="008F364A" w:rsidRPr="00C26339" w:rsidRDefault="004A6BD6" w:rsidP="00B35872">
            <w:pPr>
              <w:pStyle w:val="zSoquijdatDateJugement"/>
              <w:rPr>
                <w:highlight w:val="yellow"/>
                <w:lang w:val="en-CA"/>
              </w:rPr>
            </w:pPr>
            <w:r w:rsidRPr="00EF7404">
              <w:rPr>
                <w:lang w:val="en-CA"/>
              </w:rPr>
              <w:t xml:space="preserve"> </w:t>
            </w:r>
            <w:r w:rsidR="00B35872">
              <w:rPr>
                <w:lang w:val="en-CA"/>
              </w:rPr>
              <w:t>2</w:t>
            </w:r>
            <w:r w:rsidR="00164E2C" w:rsidRPr="00B35872">
              <w:rPr>
                <w:lang w:val="en-CA"/>
              </w:rPr>
              <w:t xml:space="preserve">6 </w:t>
            </w:r>
            <w:r w:rsidRPr="00B35872">
              <w:rPr>
                <w:lang w:val="en-CA"/>
              </w:rPr>
              <w:t>MARS</w:t>
            </w:r>
            <w:r w:rsidR="00B35872">
              <w:rPr>
                <w:lang w:val="en-CA"/>
              </w:rPr>
              <w:t xml:space="preserve"> 2021</w:t>
            </w:r>
          </w:p>
        </w:tc>
      </w:tr>
      <w:tr w:rsidR="00581844" w14:paraId="49A5C7E2" w14:textId="77777777" w:rsidTr="008D18FC">
        <w:tc>
          <w:tcPr>
            <w:tcW w:w="9360" w:type="dxa"/>
            <w:gridSpan w:val="6"/>
            <w:tcBorders>
              <w:bottom w:val="single" w:sz="8" w:space="0" w:color="auto"/>
            </w:tcBorders>
          </w:tcPr>
          <w:p w14:paraId="26F96BB5" w14:textId="77777777" w:rsidR="008F364A" w:rsidRPr="00EF7404" w:rsidRDefault="008F364A">
            <w:pPr>
              <w:rPr>
                <w:lang w:val="en-CA"/>
              </w:rPr>
            </w:pPr>
          </w:p>
        </w:tc>
      </w:tr>
      <w:tr w:rsidR="00581844" w14:paraId="1C05969A" w14:textId="77777777" w:rsidTr="008D18FC">
        <w:tc>
          <w:tcPr>
            <w:tcW w:w="9360" w:type="dxa"/>
            <w:gridSpan w:val="6"/>
            <w:tcBorders>
              <w:top w:val="single" w:sz="8" w:space="0" w:color="auto"/>
            </w:tcBorders>
          </w:tcPr>
          <w:p w14:paraId="77F20DBA" w14:textId="77777777" w:rsidR="008F364A" w:rsidRPr="00EF7404" w:rsidRDefault="008F364A">
            <w:pPr>
              <w:rPr>
                <w:lang w:val="en-CA"/>
              </w:rPr>
            </w:pPr>
          </w:p>
        </w:tc>
      </w:tr>
      <w:tr w:rsidR="00581844" w14:paraId="30E63AA8" w14:textId="77777777" w:rsidTr="008D18FC">
        <w:tc>
          <w:tcPr>
            <w:tcW w:w="1620" w:type="dxa"/>
            <w:gridSpan w:val="2"/>
          </w:tcPr>
          <w:p w14:paraId="1D6F5981" w14:textId="77777777" w:rsidR="008F364A" w:rsidRPr="00EF7404" w:rsidRDefault="004A6BD6" w:rsidP="00423DF1">
            <w:pPr>
              <w:pStyle w:val="zSoquijlblJuge"/>
              <w:ind w:right="-142"/>
              <w:rPr>
                <w:lang w:val="en-CA"/>
              </w:rPr>
            </w:pPr>
            <w:bookmarkStart w:id="3" w:name="FORMATION"/>
            <w:r w:rsidRPr="00EF7404">
              <w:rPr>
                <w:bCs/>
                <w:lang w:val="en-CA"/>
              </w:rPr>
              <w:t>CORAM:</w:t>
            </w:r>
            <w:bookmarkEnd w:id="3"/>
          </w:p>
        </w:tc>
        <w:tc>
          <w:tcPr>
            <w:tcW w:w="2350" w:type="dxa"/>
            <w:gridSpan w:val="2"/>
          </w:tcPr>
          <w:p w14:paraId="53C96F3F" w14:textId="77777777" w:rsidR="008F364A" w:rsidRPr="00EF7404" w:rsidRDefault="004A6BD6">
            <w:pPr>
              <w:pStyle w:val="zSoquijdatQteJuge"/>
              <w:rPr>
                <w:lang w:val="en-CA"/>
              </w:rPr>
            </w:pPr>
            <w:bookmarkStart w:id="4" w:name="Honorables"/>
            <w:r w:rsidRPr="00EF7404">
              <w:rPr>
                <w:bCs/>
                <w:lang w:val="en-CA"/>
              </w:rPr>
              <w:t>THE HONOURABLE</w:t>
            </w:r>
            <w:bookmarkEnd w:id="4"/>
          </w:p>
        </w:tc>
        <w:tc>
          <w:tcPr>
            <w:tcW w:w="5390" w:type="dxa"/>
            <w:gridSpan w:val="2"/>
          </w:tcPr>
          <w:p w14:paraId="71BDA55E" w14:textId="77777777" w:rsidR="008F364A" w:rsidRPr="007A74D1" w:rsidRDefault="004A6BD6">
            <w:pPr>
              <w:pStyle w:val="zSoquijdatJuge"/>
            </w:pPr>
            <w:bookmarkStart w:id="5" w:name="NomJuge1"/>
            <w:r w:rsidRPr="007A74D1">
              <w:rPr>
                <w:bCs/>
              </w:rPr>
              <w:t>FRANÇOIS DOYON, J.A.</w:t>
            </w:r>
            <w:bookmarkEnd w:id="5"/>
          </w:p>
          <w:p w14:paraId="137DED0E" w14:textId="77777777" w:rsidR="008F364A" w:rsidRPr="007A74D1" w:rsidRDefault="004A6BD6">
            <w:pPr>
              <w:pStyle w:val="zSoquijdatJuge"/>
            </w:pPr>
            <w:bookmarkStart w:id="6" w:name="NomJuge2"/>
            <w:r w:rsidRPr="007A74D1">
              <w:rPr>
                <w:bCs/>
              </w:rPr>
              <w:t>MARTIN VAUCLAIR, J.A.</w:t>
            </w:r>
            <w:bookmarkEnd w:id="6"/>
          </w:p>
          <w:p w14:paraId="60FBE6C2" w14:textId="77777777" w:rsidR="008F364A" w:rsidRPr="007A74D1" w:rsidRDefault="004A6BD6">
            <w:pPr>
              <w:pStyle w:val="zSoquijdatJuge"/>
            </w:pPr>
            <w:bookmarkStart w:id="7" w:name="NomJuge3"/>
            <w:r w:rsidRPr="007A74D1">
              <w:rPr>
                <w:bCs/>
              </w:rPr>
              <w:t>MARIE-JOSÉE HOGUE, J.A.</w:t>
            </w:r>
            <w:bookmarkEnd w:id="7"/>
          </w:p>
          <w:p w14:paraId="3AD094EA" w14:textId="77777777" w:rsidR="008F364A" w:rsidRPr="007A74D1" w:rsidRDefault="004A6BD6">
            <w:pPr>
              <w:pStyle w:val="zSoquijdatJuge"/>
            </w:pPr>
            <w:bookmarkStart w:id="8" w:name="_Hlt520513784"/>
            <w:bookmarkStart w:id="9" w:name="NomJuge4"/>
            <w:bookmarkEnd w:id="8"/>
            <w:r w:rsidRPr="007A74D1">
              <w:rPr>
                <w:bCs/>
              </w:rPr>
              <w:t>SIMON RUEL, J.A.</w:t>
            </w:r>
            <w:bookmarkEnd w:id="9"/>
          </w:p>
          <w:p w14:paraId="6EEDB92F" w14:textId="77777777" w:rsidR="005A78BF" w:rsidRPr="007A74D1" w:rsidRDefault="004A6BD6" w:rsidP="001216D3">
            <w:pPr>
              <w:pStyle w:val="zSoquijdatJuge"/>
            </w:pPr>
            <w:bookmarkStart w:id="10" w:name="NomJuge5"/>
            <w:r w:rsidRPr="007A74D1">
              <w:rPr>
                <w:bCs/>
              </w:rPr>
              <w:t>JOCELYN F. RANCOURT, J.A.</w:t>
            </w:r>
            <w:bookmarkEnd w:id="10"/>
          </w:p>
        </w:tc>
      </w:tr>
      <w:tr w:rsidR="00581844" w14:paraId="416969D2" w14:textId="77777777" w:rsidTr="008D18FC">
        <w:tc>
          <w:tcPr>
            <w:tcW w:w="9360" w:type="dxa"/>
            <w:gridSpan w:val="6"/>
            <w:tcBorders>
              <w:bottom w:val="single" w:sz="8" w:space="0" w:color="auto"/>
            </w:tcBorders>
          </w:tcPr>
          <w:p w14:paraId="0B651F2B" w14:textId="77777777" w:rsidR="008F364A" w:rsidRPr="007A74D1" w:rsidRDefault="008F364A"/>
        </w:tc>
      </w:tr>
      <w:tr w:rsidR="00581844" w14:paraId="136C40FE" w14:textId="77777777" w:rsidTr="008D18FC">
        <w:tc>
          <w:tcPr>
            <w:tcW w:w="9360" w:type="dxa"/>
            <w:gridSpan w:val="6"/>
          </w:tcPr>
          <w:p w14:paraId="040D75C9" w14:textId="77777777" w:rsidR="008F364A" w:rsidRPr="007A74D1" w:rsidRDefault="008F364A">
            <w:pPr>
              <w:pStyle w:val="zSoquijlblTitrePartie"/>
            </w:pPr>
          </w:p>
        </w:tc>
      </w:tr>
      <w:tr w:rsidR="00581844" w14:paraId="7057B398" w14:textId="77777777" w:rsidTr="008D18FC">
        <w:tc>
          <w:tcPr>
            <w:tcW w:w="9360" w:type="dxa"/>
            <w:gridSpan w:val="6"/>
          </w:tcPr>
          <w:p w14:paraId="3B0600C1" w14:textId="77777777" w:rsidR="008F364A" w:rsidRPr="00EF7404" w:rsidRDefault="004A6BD6">
            <w:pPr>
              <w:pStyle w:val="zSoquijdatNomPartieDem"/>
              <w:rPr>
                <w:lang w:val="en-CA"/>
              </w:rPr>
            </w:pPr>
            <w:r w:rsidRPr="00EF7404">
              <w:rPr>
                <w:lang w:val="en-CA"/>
              </w:rPr>
              <w:t>PASCAL BREAULT</w:t>
            </w:r>
          </w:p>
        </w:tc>
      </w:tr>
      <w:tr w:rsidR="00581844" w14:paraId="438CC651" w14:textId="77777777" w:rsidTr="008D18FC">
        <w:tc>
          <w:tcPr>
            <w:tcW w:w="9360" w:type="dxa"/>
            <w:gridSpan w:val="6"/>
          </w:tcPr>
          <w:p w14:paraId="6F91B2FF" w14:textId="77777777" w:rsidR="008F364A" w:rsidRPr="00EF7404" w:rsidRDefault="004A6BD6" w:rsidP="000F728A">
            <w:pPr>
              <w:pStyle w:val="zSoquijdatQtePartieDem"/>
              <w:rPr>
                <w:lang w:val="en-CA"/>
              </w:rPr>
            </w:pPr>
            <w:r w:rsidRPr="00EF7404">
              <w:rPr>
                <w:lang w:val="en-CA"/>
              </w:rPr>
              <w:t xml:space="preserve">APPELLANT – Defendant </w:t>
            </w:r>
          </w:p>
        </w:tc>
      </w:tr>
      <w:tr w:rsidR="00581844" w14:paraId="577D4342" w14:textId="77777777" w:rsidTr="008D18FC">
        <w:tc>
          <w:tcPr>
            <w:tcW w:w="9360" w:type="dxa"/>
            <w:gridSpan w:val="6"/>
          </w:tcPr>
          <w:p w14:paraId="0AA0D7A3" w14:textId="77777777" w:rsidR="008F364A" w:rsidRPr="00EF7404" w:rsidRDefault="004A6BD6">
            <w:pPr>
              <w:pStyle w:val="zSoquijlblLienParties"/>
              <w:rPr>
                <w:lang w:val="en-CA"/>
              </w:rPr>
            </w:pPr>
            <w:r w:rsidRPr="00EF7404">
              <w:rPr>
                <w:lang w:val="en-CA"/>
              </w:rPr>
              <w:t>v.</w:t>
            </w:r>
          </w:p>
        </w:tc>
      </w:tr>
      <w:tr w:rsidR="00581844" w14:paraId="7C10DECD" w14:textId="77777777" w:rsidTr="008D18FC">
        <w:tc>
          <w:tcPr>
            <w:tcW w:w="9360" w:type="dxa"/>
            <w:gridSpan w:val="6"/>
          </w:tcPr>
          <w:p w14:paraId="7B8A19E8" w14:textId="77777777" w:rsidR="008F364A" w:rsidRPr="00EF7404" w:rsidRDefault="008F364A">
            <w:pPr>
              <w:rPr>
                <w:lang w:val="en-CA"/>
              </w:rPr>
            </w:pPr>
          </w:p>
        </w:tc>
      </w:tr>
      <w:tr w:rsidR="00581844" w14:paraId="74B0F949" w14:textId="77777777" w:rsidTr="008D18FC">
        <w:tc>
          <w:tcPr>
            <w:tcW w:w="9360" w:type="dxa"/>
            <w:gridSpan w:val="6"/>
          </w:tcPr>
          <w:p w14:paraId="2E4052B0" w14:textId="77777777" w:rsidR="008F364A" w:rsidRPr="00EF7404" w:rsidRDefault="004A6BD6">
            <w:pPr>
              <w:pStyle w:val="zSoquijdatNomPartieDef"/>
              <w:rPr>
                <w:lang w:val="en-CA"/>
              </w:rPr>
            </w:pPr>
            <w:r w:rsidRPr="00EF7404">
              <w:rPr>
                <w:lang w:val="en-CA"/>
              </w:rPr>
              <w:t>HER MAJESTY THE QUEEN</w:t>
            </w:r>
          </w:p>
        </w:tc>
      </w:tr>
      <w:tr w:rsidR="00581844" w14:paraId="0A918695" w14:textId="77777777" w:rsidTr="008D18FC">
        <w:tc>
          <w:tcPr>
            <w:tcW w:w="9360" w:type="dxa"/>
            <w:gridSpan w:val="6"/>
          </w:tcPr>
          <w:p w14:paraId="44584D12" w14:textId="77777777" w:rsidR="008F364A" w:rsidRPr="00EF7404" w:rsidRDefault="004A6BD6">
            <w:pPr>
              <w:pStyle w:val="zSoquijdatQtePartieDef"/>
              <w:rPr>
                <w:lang w:val="en-CA"/>
              </w:rPr>
            </w:pPr>
            <w:r w:rsidRPr="00EF7404">
              <w:rPr>
                <w:lang w:val="en-CA"/>
              </w:rPr>
              <w:t>RESPONDENT – Prosecutor</w:t>
            </w:r>
          </w:p>
        </w:tc>
      </w:tr>
      <w:tr w:rsidR="00581844" w14:paraId="5E548148" w14:textId="77777777" w:rsidTr="008D18FC">
        <w:tc>
          <w:tcPr>
            <w:tcW w:w="9360" w:type="dxa"/>
            <w:gridSpan w:val="6"/>
          </w:tcPr>
          <w:p w14:paraId="0BE4A9D8" w14:textId="77777777" w:rsidR="00407ABA" w:rsidRPr="00EF7404" w:rsidRDefault="004A6BD6" w:rsidP="00407ABA">
            <w:pPr>
              <w:rPr>
                <w:lang w:val="en-CA"/>
              </w:rPr>
            </w:pPr>
            <w:r w:rsidRPr="00EF7404">
              <w:rPr>
                <w:lang w:val="en-CA"/>
              </w:rPr>
              <w:t>and</w:t>
            </w:r>
          </w:p>
        </w:tc>
      </w:tr>
      <w:tr w:rsidR="00581844" w14:paraId="2C79AFCB" w14:textId="77777777" w:rsidTr="008D18FC">
        <w:tc>
          <w:tcPr>
            <w:tcW w:w="9360" w:type="dxa"/>
            <w:gridSpan w:val="6"/>
          </w:tcPr>
          <w:p w14:paraId="6AF0A1BD" w14:textId="77777777" w:rsidR="00407ABA" w:rsidRPr="00EF7404" w:rsidRDefault="004A6BD6" w:rsidP="00407ABA">
            <w:pPr>
              <w:pStyle w:val="zSoquijdatNomPartieDef"/>
              <w:rPr>
                <w:lang w:val="en-CA"/>
              </w:rPr>
            </w:pPr>
            <w:r w:rsidRPr="00EF7404">
              <w:rPr>
                <w:lang w:val="en-CA"/>
              </w:rPr>
              <w:t>DIRECTOR OF CRIMINAL AND PENAL PROSECUTIONS</w:t>
            </w:r>
          </w:p>
        </w:tc>
      </w:tr>
      <w:tr w:rsidR="00581844" w14:paraId="391BC110" w14:textId="77777777" w:rsidTr="008D18FC">
        <w:tc>
          <w:tcPr>
            <w:tcW w:w="9360" w:type="dxa"/>
            <w:gridSpan w:val="6"/>
          </w:tcPr>
          <w:p w14:paraId="5359DA62" w14:textId="77777777" w:rsidR="00407ABA" w:rsidRPr="00EF7404" w:rsidRDefault="004A6BD6" w:rsidP="00407ABA">
            <w:pPr>
              <w:pStyle w:val="zSoquijdatQtePartieDef"/>
              <w:rPr>
                <w:lang w:val="en-CA"/>
              </w:rPr>
            </w:pPr>
            <w:r w:rsidRPr="00EF7404">
              <w:rPr>
                <w:lang w:val="en-CA"/>
              </w:rPr>
              <w:t>INTERVENER</w:t>
            </w:r>
          </w:p>
        </w:tc>
      </w:tr>
      <w:tr w:rsidR="00581844" w14:paraId="02ED2B66" w14:textId="77777777" w:rsidTr="008D18FC">
        <w:tc>
          <w:tcPr>
            <w:tcW w:w="9360" w:type="dxa"/>
            <w:gridSpan w:val="6"/>
          </w:tcPr>
          <w:p w14:paraId="78CA4605" w14:textId="77777777" w:rsidR="008F364A" w:rsidRPr="00EF7404" w:rsidRDefault="008F364A">
            <w:pPr>
              <w:rPr>
                <w:lang w:val="en-CA"/>
              </w:rPr>
            </w:pPr>
          </w:p>
        </w:tc>
      </w:tr>
      <w:tr w:rsidR="00581844" w14:paraId="1821E5A2" w14:textId="77777777" w:rsidTr="008D18FC">
        <w:tc>
          <w:tcPr>
            <w:tcW w:w="9360" w:type="dxa"/>
            <w:gridSpan w:val="6"/>
            <w:tcBorders>
              <w:top w:val="single" w:sz="8" w:space="0" w:color="auto"/>
            </w:tcBorders>
          </w:tcPr>
          <w:p w14:paraId="5FA6AC03" w14:textId="77777777" w:rsidR="008F364A" w:rsidRPr="00EF7404" w:rsidRDefault="008F364A">
            <w:pPr>
              <w:rPr>
                <w:lang w:val="en-CA"/>
              </w:rPr>
            </w:pPr>
            <w:bookmarkStart w:id="11" w:name="Arret"/>
          </w:p>
        </w:tc>
      </w:tr>
      <w:tr w:rsidR="00581844" w14:paraId="480FEA29" w14:textId="77777777" w:rsidTr="008D18FC">
        <w:tc>
          <w:tcPr>
            <w:tcW w:w="9360" w:type="dxa"/>
            <w:gridSpan w:val="6"/>
          </w:tcPr>
          <w:p w14:paraId="6773299A" w14:textId="77777777" w:rsidR="008F364A" w:rsidRPr="00EF7404" w:rsidRDefault="004A6BD6">
            <w:pPr>
              <w:pStyle w:val="zSoquijlblTypeDocument"/>
              <w:rPr>
                <w:lang w:val="en-CA"/>
              </w:rPr>
            </w:pPr>
            <w:bookmarkStart w:id="12" w:name="TitreDocument"/>
            <w:r w:rsidRPr="00EF7404">
              <w:rPr>
                <w:lang w:val="en-CA"/>
              </w:rPr>
              <w:t>JUDGMENT</w:t>
            </w:r>
            <w:bookmarkEnd w:id="12"/>
          </w:p>
        </w:tc>
      </w:tr>
      <w:tr w:rsidR="00581844" w14:paraId="2FA77F94" w14:textId="77777777" w:rsidTr="008D18FC">
        <w:tc>
          <w:tcPr>
            <w:tcW w:w="9360" w:type="dxa"/>
            <w:gridSpan w:val="6"/>
            <w:tcBorders>
              <w:bottom w:val="single" w:sz="8" w:space="0" w:color="auto"/>
            </w:tcBorders>
          </w:tcPr>
          <w:p w14:paraId="25971258" w14:textId="77777777" w:rsidR="008F364A" w:rsidRPr="00EF7404" w:rsidRDefault="008F364A">
            <w:pPr>
              <w:rPr>
                <w:lang w:val="en-CA"/>
              </w:rPr>
            </w:pPr>
          </w:p>
        </w:tc>
      </w:tr>
      <w:tr w:rsidR="00581844" w14:paraId="7CB4BEEB" w14:textId="77777777" w:rsidTr="008D18FC">
        <w:tc>
          <w:tcPr>
            <w:tcW w:w="9360" w:type="dxa"/>
            <w:gridSpan w:val="6"/>
            <w:tcBorders>
              <w:top w:val="single" w:sz="8" w:space="0" w:color="auto"/>
            </w:tcBorders>
          </w:tcPr>
          <w:p w14:paraId="47D620CA" w14:textId="77777777" w:rsidR="008F364A" w:rsidRPr="00EF7404" w:rsidRDefault="008F364A">
            <w:pPr>
              <w:rPr>
                <w:lang w:val="en-CA"/>
              </w:rPr>
            </w:pPr>
          </w:p>
        </w:tc>
      </w:tr>
    </w:tbl>
    <w:p w14:paraId="3D0D3FE6" w14:textId="77777777" w:rsidR="008F364A" w:rsidRPr="00EF7404" w:rsidRDefault="004A6BD6" w:rsidP="009507D7">
      <w:pPr>
        <w:pStyle w:val="Paragraphe"/>
        <w:spacing w:line="280" w:lineRule="exact"/>
        <w:rPr>
          <w:lang w:val="en-CA"/>
        </w:rPr>
      </w:pPr>
      <w:r w:rsidRPr="00EF7404">
        <w:rPr>
          <w:lang w:val="en-CA"/>
        </w:rPr>
        <w:t xml:space="preserve">The appellant appeals against a judgment rendered on February 21, 2020 by the Superior Court, district of Quebec (the Honourable Mr. Justice Raymond W. Pronovost), which dismissed his appeal of the decision rendered on June 26, 2019 by the Municipal Court of the City of Quebec (the Honourable Patrice Simard) finding him guilty of the offence set out in s. 254(5) </w:t>
      </w:r>
      <w:r w:rsidRPr="00EF7404">
        <w:rPr>
          <w:i/>
          <w:iCs/>
          <w:lang w:val="en-CA"/>
        </w:rPr>
        <w:t>Cr.C.</w:t>
      </w:r>
      <w:r w:rsidRPr="00EF7404">
        <w:rPr>
          <w:lang w:val="en-CA"/>
        </w:rPr>
        <w:t xml:space="preserve"> as it was then in force.</w:t>
      </w:r>
    </w:p>
    <w:p w14:paraId="40591E37" w14:textId="77777777" w:rsidR="00EF7404" w:rsidRDefault="004A6BD6" w:rsidP="00F80C43">
      <w:pPr>
        <w:pStyle w:val="Paragraphe"/>
        <w:spacing w:before="240" w:after="100" w:line="280" w:lineRule="exact"/>
        <w:rPr>
          <w:lang w:val="en-CA"/>
        </w:rPr>
      </w:pPr>
      <w:r w:rsidRPr="00EF7404">
        <w:rPr>
          <w:lang w:val="en-CA"/>
        </w:rPr>
        <w:t xml:space="preserve">For the reasons of Doyon, J.A., with which Vauclair, Hogue, </w:t>
      </w:r>
      <w:r>
        <w:rPr>
          <w:lang w:val="en-CA"/>
        </w:rPr>
        <w:t>Ruel and Rancourt, JJ.A. agree;</w:t>
      </w:r>
    </w:p>
    <w:p w14:paraId="35E8FEA5" w14:textId="77777777" w:rsidR="00712271" w:rsidRPr="00EF7404" w:rsidRDefault="004A6BD6" w:rsidP="00EF7404">
      <w:pPr>
        <w:pStyle w:val="Paragraphe"/>
        <w:numPr>
          <w:ilvl w:val="0"/>
          <w:numId w:val="0"/>
        </w:numPr>
        <w:spacing w:before="240" w:after="100" w:line="280" w:lineRule="exact"/>
        <w:rPr>
          <w:lang w:val="en-CA"/>
        </w:rPr>
      </w:pPr>
      <w:r w:rsidRPr="00EF7404">
        <w:rPr>
          <w:b/>
          <w:bCs/>
          <w:lang w:val="en-CA"/>
        </w:rPr>
        <w:t>THE COURT</w:t>
      </w:r>
      <w:r w:rsidRPr="00EF7404">
        <w:rPr>
          <w:lang w:val="en-CA"/>
        </w:rPr>
        <w:t>:</w:t>
      </w:r>
    </w:p>
    <w:p w14:paraId="467DD18A" w14:textId="77777777" w:rsidR="00C406A6" w:rsidRPr="00EF7404" w:rsidRDefault="004A6BD6" w:rsidP="00F80C43">
      <w:pPr>
        <w:pStyle w:val="Paragraphe"/>
        <w:spacing w:after="100" w:line="280" w:lineRule="exact"/>
        <w:rPr>
          <w:lang w:val="en-CA"/>
        </w:rPr>
      </w:pPr>
      <w:r w:rsidRPr="00EF7404">
        <w:rPr>
          <w:b/>
          <w:bCs/>
          <w:lang w:val="en-CA"/>
        </w:rPr>
        <w:t>ALLOWS</w:t>
      </w:r>
      <w:r w:rsidRPr="00EF7404">
        <w:rPr>
          <w:lang w:val="en-CA"/>
        </w:rPr>
        <w:t xml:space="preserve"> the appeal;</w:t>
      </w:r>
    </w:p>
    <w:p w14:paraId="63DC6D8D" w14:textId="1969E02B" w:rsidR="00C406A6" w:rsidRPr="00EF7404" w:rsidRDefault="004A6BD6" w:rsidP="00F80C43">
      <w:pPr>
        <w:pStyle w:val="Paragraphe"/>
        <w:spacing w:after="100" w:line="280" w:lineRule="exact"/>
        <w:rPr>
          <w:lang w:val="en-CA"/>
        </w:rPr>
      </w:pPr>
      <w:r>
        <w:rPr>
          <w:b/>
          <w:bCs/>
          <w:lang w:val="en-CA"/>
        </w:rPr>
        <w:t>QUASHES</w:t>
      </w:r>
      <w:r w:rsidRPr="00EF7404">
        <w:rPr>
          <w:lang w:val="en-CA"/>
        </w:rPr>
        <w:t xml:space="preserve"> </w:t>
      </w:r>
      <w:r w:rsidR="0094427C" w:rsidRPr="00EF7404">
        <w:rPr>
          <w:lang w:val="en-CA"/>
        </w:rPr>
        <w:t>the judgment of the Superior Court dated February 21, 2020, as well as the judgment of the Municipal Court of the City of Quebec dated June 26, 2019;</w:t>
      </w:r>
    </w:p>
    <w:p w14:paraId="1A63B2EF" w14:textId="77777777" w:rsidR="005311CB" w:rsidRPr="00EF7404" w:rsidRDefault="004A6BD6" w:rsidP="00F80C43">
      <w:pPr>
        <w:pStyle w:val="Paragraphe"/>
        <w:spacing w:after="100" w:line="280" w:lineRule="exact"/>
        <w:rPr>
          <w:lang w:val="en-CA"/>
        </w:rPr>
      </w:pPr>
      <w:r w:rsidRPr="00EF7404">
        <w:rPr>
          <w:b/>
          <w:bCs/>
          <w:lang w:val="en-CA"/>
        </w:rPr>
        <w:t>DIRECTS</w:t>
      </w:r>
      <w:r w:rsidRPr="00EF7404">
        <w:rPr>
          <w:lang w:val="en-CA"/>
        </w:rPr>
        <w:t xml:space="preserve"> a judgment of acquittal to be entered;</w:t>
      </w:r>
    </w:p>
    <w:p w14:paraId="7DD44633" w14:textId="77777777" w:rsidR="008E68A3" w:rsidRPr="00EF7404" w:rsidRDefault="004A6BD6" w:rsidP="009507D7">
      <w:pPr>
        <w:pStyle w:val="Paragraphe"/>
        <w:spacing w:line="280" w:lineRule="exact"/>
        <w:rPr>
          <w:lang w:val="en-CA"/>
        </w:rPr>
      </w:pPr>
      <w:r w:rsidRPr="00EF7404">
        <w:rPr>
          <w:b/>
          <w:bCs/>
          <w:lang w:val="en-CA"/>
        </w:rPr>
        <w:t>DECLARES</w:t>
      </w:r>
      <w:r w:rsidRPr="00EF7404">
        <w:rPr>
          <w:lang w:val="en-CA"/>
        </w:rPr>
        <w:t xml:space="preserve"> that </w:t>
      </w:r>
      <w:r w:rsidRPr="00EF7404">
        <w:rPr>
          <w:i/>
          <w:iCs/>
          <w:lang w:val="en-CA"/>
        </w:rPr>
        <w:t>Petit c. R.</w:t>
      </w:r>
      <w:r w:rsidRPr="00EF7404">
        <w:rPr>
          <w:lang w:val="en-CA"/>
        </w:rPr>
        <w:t>, 2005 QCCA 687, no longer has precedential value.</w:t>
      </w:r>
    </w:p>
    <w:tbl>
      <w:tblP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1997"/>
        <w:gridCol w:w="2685"/>
        <w:gridCol w:w="4680"/>
      </w:tblGrid>
      <w:tr w:rsidR="00581844" w14:paraId="3DCCB387" w14:textId="77777777" w:rsidTr="003E3239">
        <w:trPr>
          <w:trHeight w:val="576"/>
        </w:trPr>
        <w:tc>
          <w:tcPr>
            <w:tcW w:w="9362" w:type="dxa"/>
            <w:gridSpan w:val="3"/>
            <w:tcBorders>
              <w:top w:val="nil"/>
              <w:bottom w:val="nil"/>
            </w:tcBorders>
          </w:tcPr>
          <w:p w14:paraId="53960864" w14:textId="77777777" w:rsidR="008F364A" w:rsidRPr="00EF7404" w:rsidRDefault="008F364A">
            <w:pPr>
              <w:keepNext/>
              <w:rPr>
                <w:lang w:val="en-CA"/>
              </w:rPr>
            </w:pPr>
          </w:p>
        </w:tc>
      </w:tr>
      <w:tr w:rsidR="00581844" w14:paraId="6CDB0DB8" w14:textId="77777777" w:rsidTr="00117914">
        <w:trPr>
          <w:trHeight w:val="283"/>
        </w:trPr>
        <w:tc>
          <w:tcPr>
            <w:tcW w:w="4682" w:type="dxa"/>
            <w:gridSpan w:val="2"/>
            <w:tcBorders>
              <w:top w:val="nil"/>
              <w:bottom w:val="nil"/>
            </w:tcBorders>
          </w:tcPr>
          <w:p w14:paraId="71101BA8" w14:textId="77777777" w:rsidR="008F364A" w:rsidRPr="00EF7404" w:rsidRDefault="008F364A">
            <w:pPr>
              <w:keepNext/>
              <w:rPr>
                <w:lang w:val="en-CA"/>
              </w:rPr>
            </w:pPr>
          </w:p>
        </w:tc>
        <w:tc>
          <w:tcPr>
            <w:tcW w:w="4680" w:type="dxa"/>
            <w:tcBorders>
              <w:top w:val="nil"/>
              <w:bottom w:val="single" w:sz="8" w:space="0" w:color="auto"/>
            </w:tcBorders>
          </w:tcPr>
          <w:p w14:paraId="1201DF2A" w14:textId="77777777" w:rsidR="008F364A" w:rsidRPr="00EF7404" w:rsidRDefault="008F364A">
            <w:pPr>
              <w:keepNext/>
              <w:rPr>
                <w:lang w:val="en-CA"/>
              </w:rPr>
            </w:pPr>
          </w:p>
        </w:tc>
      </w:tr>
      <w:tr w:rsidR="00581844" w14:paraId="5D7B0474" w14:textId="77777777" w:rsidTr="00117914">
        <w:trPr>
          <w:trHeight w:val="283"/>
        </w:trPr>
        <w:tc>
          <w:tcPr>
            <w:tcW w:w="4682" w:type="dxa"/>
            <w:gridSpan w:val="2"/>
            <w:tcBorders>
              <w:top w:val="nil"/>
            </w:tcBorders>
          </w:tcPr>
          <w:p w14:paraId="2AAA4647" w14:textId="77777777" w:rsidR="008F364A" w:rsidRPr="00EF7404" w:rsidRDefault="008F364A">
            <w:pPr>
              <w:keepNext/>
              <w:rPr>
                <w:lang w:val="en-CA"/>
              </w:rPr>
            </w:pPr>
          </w:p>
        </w:tc>
        <w:tc>
          <w:tcPr>
            <w:tcW w:w="4680" w:type="dxa"/>
            <w:tcBorders>
              <w:top w:val="single" w:sz="8" w:space="0" w:color="auto"/>
            </w:tcBorders>
          </w:tcPr>
          <w:p w14:paraId="6156E423" w14:textId="0176033B" w:rsidR="008F364A" w:rsidRPr="00EF7404" w:rsidRDefault="004A6BD6" w:rsidP="008924D0">
            <w:pPr>
              <w:rPr>
                <w:lang w:val="en-CA"/>
              </w:rPr>
            </w:pPr>
            <w:r w:rsidRPr="008924D0">
              <w:rPr>
                <w:lang w:val="en-CA"/>
              </w:rPr>
              <w:t>FRANÇOIS DOYON, J.A.</w:t>
            </w:r>
          </w:p>
        </w:tc>
      </w:tr>
      <w:tr w:rsidR="00581844" w14:paraId="6F84BB0E" w14:textId="77777777" w:rsidTr="00117914">
        <w:trPr>
          <w:trHeight w:val="283"/>
        </w:trPr>
        <w:tc>
          <w:tcPr>
            <w:tcW w:w="4682" w:type="dxa"/>
            <w:gridSpan w:val="2"/>
            <w:tcBorders>
              <w:top w:val="nil"/>
            </w:tcBorders>
          </w:tcPr>
          <w:p w14:paraId="5366CC01" w14:textId="77777777" w:rsidR="008F364A" w:rsidRPr="00EF7404" w:rsidRDefault="008F364A">
            <w:pPr>
              <w:keepNext/>
              <w:rPr>
                <w:lang w:val="en-CA"/>
              </w:rPr>
            </w:pPr>
            <w:bookmarkStart w:id="13" w:name="Signature2"/>
          </w:p>
        </w:tc>
        <w:tc>
          <w:tcPr>
            <w:tcW w:w="4680" w:type="dxa"/>
            <w:tcBorders>
              <w:top w:val="nil"/>
            </w:tcBorders>
          </w:tcPr>
          <w:p w14:paraId="29AD117D" w14:textId="77777777" w:rsidR="008F364A" w:rsidRPr="00EF7404" w:rsidRDefault="008F364A">
            <w:pPr>
              <w:keepNext/>
              <w:rPr>
                <w:lang w:val="en-CA"/>
              </w:rPr>
            </w:pPr>
          </w:p>
        </w:tc>
      </w:tr>
      <w:tr w:rsidR="00581844" w14:paraId="19AEB321" w14:textId="77777777" w:rsidTr="00117914">
        <w:trPr>
          <w:trHeight w:val="283"/>
        </w:trPr>
        <w:tc>
          <w:tcPr>
            <w:tcW w:w="4682" w:type="dxa"/>
            <w:gridSpan w:val="2"/>
            <w:tcBorders>
              <w:top w:val="nil"/>
              <w:bottom w:val="nil"/>
            </w:tcBorders>
          </w:tcPr>
          <w:p w14:paraId="5208EF56" w14:textId="77777777" w:rsidR="008F364A" w:rsidRPr="00EF7404" w:rsidRDefault="008F364A">
            <w:pPr>
              <w:keepNext/>
              <w:rPr>
                <w:lang w:val="en-CA"/>
              </w:rPr>
            </w:pPr>
          </w:p>
        </w:tc>
        <w:tc>
          <w:tcPr>
            <w:tcW w:w="4680" w:type="dxa"/>
            <w:tcBorders>
              <w:top w:val="nil"/>
              <w:bottom w:val="single" w:sz="8" w:space="0" w:color="auto"/>
            </w:tcBorders>
          </w:tcPr>
          <w:p w14:paraId="3BD29BC5" w14:textId="77777777" w:rsidR="008F364A" w:rsidRPr="00EF7404" w:rsidRDefault="008F364A">
            <w:pPr>
              <w:keepNext/>
              <w:rPr>
                <w:lang w:val="en-CA"/>
              </w:rPr>
            </w:pPr>
          </w:p>
        </w:tc>
      </w:tr>
      <w:tr w:rsidR="00581844" w14:paraId="3E57A068" w14:textId="77777777" w:rsidTr="00117914">
        <w:trPr>
          <w:trHeight w:val="283"/>
        </w:trPr>
        <w:tc>
          <w:tcPr>
            <w:tcW w:w="4682" w:type="dxa"/>
            <w:gridSpan w:val="2"/>
            <w:tcBorders>
              <w:top w:val="nil"/>
            </w:tcBorders>
          </w:tcPr>
          <w:p w14:paraId="5E1AB54E" w14:textId="77777777" w:rsidR="008F364A" w:rsidRPr="00EF7404" w:rsidRDefault="008F364A">
            <w:pPr>
              <w:keepNext/>
              <w:rPr>
                <w:lang w:val="en-CA"/>
              </w:rPr>
            </w:pPr>
          </w:p>
        </w:tc>
        <w:tc>
          <w:tcPr>
            <w:tcW w:w="4680" w:type="dxa"/>
            <w:tcBorders>
              <w:top w:val="single" w:sz="8" w:space="0" w:color="auto"/>
            </w:tcBorders>
          </w:tcPr>
          <w:p w14:paraId="41AA53A4" w14:textId="630D0F14" w:rsidR="008F364A" w:rsidRPr="00EF7404" w:rsidRDefault="004A6BD6" w:rsidP="00005F75">
            <w:pPr>
              <w:keepNext/>
              <w:rPr>
                <w:lang w:val="en-CA"/>
              </w:rPr>
            </w:pPr>
            <w:r w:rsidRPr="00005F75">
              <w:rPr>
                <w:lang w:val="en-CA"/>
              </w:rPr>
              <w:t>MARTIN VAUCLAIR, J.A.</w:t>
            </w:r>
          </w:p>
        </w:tc>
      </w:tr>
      <w:tr w:rsidR="00581844" w14:paraId="61B9DA22" w14:textId="77777777" w:rsidTr="00117914">
        <w:trPr>
          <w:trHeight w:val="283"/>
        </w:trPr>
        <w:tc>
          <w:tcPr>
            <w:tcW w:w="4682" w:type="dxa"/>
            <w:gridSpan w:val="2"/>
            <w:tcBorders>
              <w:top w:val="nil"/>
            </w:tcBorders>
          </w:tcPr>
          <w:p w14:paraId="42B189DA" w14:textId="77777777" w:rsidR="008F364A" w:rsidRPr="00EF7404" w:rsidRDefault="008F364A">
            <w:pPr>
              <w:keepNext/>
              <w:rPr>
                <w:lang w:val="en-CA"/>
              </w:rPr>
            </w:pPr>
            <w:bookmarkStart w:id="14" w:name="Signature3"/>
            <w:bookmarkEnd w:id="13"/>
          </w:p>
        </w:tc>
        <w:tc>
          <w:tcPr>
            <w:tcW w:w="4680" w:type="dxa"/>
            <w:tcBorders>
              <w:top w:val="nil"/>
            </w:tcBorders>
          </w:tcPr>
          <w:p w14:paraId="30024265" w14:textId="77777777" w:rsidR="008F364A" w:rsidRPr="00EF7404" w:rsidRDefault="008F364A">
            <w:pPr>
              <w:keepNext/>
              <w:rPr>
                <w:lang w:val="en-CA"/>
              </w:rPr>
            </w:pPr>
          </w:p>
        </w:tc>
      </w:tr>
      <w:tr w:rsidR="00581844" w14:paraId="37868F69" w14:textId="77777777" w:rsidTr="00117914">
        <w:trPr>
          <w:trHeight w:val="283"/>
        </w:trPr>
        <w:tc>
          <w:tcPr>
            <w:tcW w:w="4682" w:type="dxa"/>
            <w:gridSpan w:val="2"/>
            <w:tcBorders>
              <w:top w:val="nil"/>
              <w:bottom w:val="nil"/>
            </w:tcBorders>
          </w:tcPr>
          <w:p w14:paraId="31F22218" w14:textId="77777777" w:rsidR="008F364A" w:rsidRPr="00EF7404" w:rsidRDefault="008F364A">
            <w:pPr>
              <w:keepNext/>
              <w:rPr>
                <w:lang w:val="en-CA"/>
              </w:rPr>
            </w:pPr>
          </w:p>
        </w:tc>
        <w:tc>
          <w:tcPr>
            <w:tcW w:w="4680" w:type="dxa"/>
            <w:tcBorders>
              <w:top w:val="nil"/>
              <w:bottom w:val="single" w:sz="8" w:space="0" w:color="auto"/>
            </w:tcBorders>
          </w:tcPr>
          <w:p w14:paraId="3112C118" w14:textId="77777777" w:rsidR="008F364A" w:rsidRPr="00EF7404" w:rsidRDefault="008F364A">
            <w:pPr>
              <w:keepNext/>
              <w:rPr>
                <w:lang w:val="en-CA"/>
              </w:rPr>
            </w:pPr>
          </w:p>
        </w:tc>
      </w:tr>
      <w:tr w:rsidR="00581844" w14:paraId="0C3A20FE" w14:textId="77777777" w:rsidTr="00117914">
        <w:trPr>
          <w:trHeight w:val="283"/>
        </w:trPr>
        <w:tc>
          <w:tcPr>
            <w:tcW w:w="4682" w:type="dxa"/>
            <w:gridSpan w:val="2"/>
            <w:tcBorders>
              <w:top w:val="nil"/>
            </w:tcBorders>
          </w:tcPr>
          <w:p w14:paraId="403872E1" w14:textId="77777777" w:rsidR="008F364A" w:rsidRPr="00EF7404" w:rsidRDefault="008F364A">
            <w:pPr>
              <w:keepNext/>
              <w:rPr>
                <w:lang w:val="en-CA"/>
              </w:rPr>
            </w:pPr>
          </w:p>
        </w:tc>
        <w:tc>
          <w:tcPr>
            <w:tcW w:w="4680" w:type="dxa"/>
            <w:tcBorders>
              <w:top w:val="single" w:sz="8" w:space="0" w:color="auto"/>
            </w:tcBorders>
          </w:tcPr>
          <w:p w14:paraId="509C035F" w14:textId="3E07146B" w:rsidR="008F364A" w:rsidRPr="007A74D1" w:rsidRDefault="004A6BD6" w:rsidP="00005F75">
            <w:pPr>
              <w:keepNext/>
            </w:pPr>
            <w:r w:rsidRPr="007A74D1">
              <w:t>MARIE-JOSÉE HOGUE, J.A.</w:t>
            </w:r>
          </w:p>
        </w:tc>
      </w:tr>
      <w:tr w:rsidR="00581844" w14:paraId="7FBCBCE6" w14:textId="77777777" w:rsidTr="00117914">
        <w:trPr>
          <w:trHeight w:val="283"/>
        </w:trPr>
        <w:tc>
          <w:tcPr>
            <w:tcW w:w="4682" w:type="dxa"/>
            <w:gridSpan w:val="2"/>
            <w:tcBorders>
              <w:top w:val="nil"/>
            </w:tcBorders>
          </w:tcPr>
          <w:p w14:paraId="2D105CB5" w14:textId="77777777" w:rsidR="008F364A" w:rsidRPr="007A74D1" w:rsidRDefault="008F364A">
            <w:pPr>
              <w:keepNext/>
            </w:pPr>
            <w:bookmarkStart w:id="15" w:name="Signature4"/>
            <w:bookmarkEnd w:id="14"/>
          </w:p>
        </w:tc>
        <w:tc>
          <w:tcPr>
            <w:tcW w:w="4680" w:type="dxa"/>
            <w:tcBorders>
              <w:top w:val="nil"/>
            </w:tcBorders>
          </w:tcPr>
          <w:p w14:paraId="67C15A94" w14:textId="77777777" w:rsidR="008F364A" w:rsidRPr="007A74D1" w:rsidRDefault="008F364A">
            <w:pPr>
              <w:keepNext/>
            </w:pPr>
          </w:p>
        </w:tc>
      </w:tr>
      <w:tr w:rsidR="00581844" w14:paraId="15C27C4B" w14:textId="77777777" w:rsidTr="00117914">
        <w:trPr>
          <w:trHeight w:val="283"/>
        </w:trPr>
        <w:tc>
          <w:tcPr>
            <w:tcW w:w="4682" w:type="dxa"/>
            <w:gridSpan w:val="2"/>
            <w:tcBorders>
              <w:top w:val="nil"/>
              <w:bottom w:val="nil"/>
            </w:tcBorders>
          </w:tcPr>
          <w:p w14:paraId="06A7BB4B" w14:textId="77777777" w:rsidR="008F364A" w:rsidRPr="007A74D1" w:rsidRDefault="008F364A">
            <w:pPr>
              <w:keepNext/>
            </w:pPr>
          </w:p>
        </w:tc>
        <w:tc>
          <w:tcPr>
            <w:tcW w:w="4680" w:type="dxa"/>
            <w:tcBorders>
              <w:top w:val="nil"/>
              <w:bottom w:val="single" w:sz="8" w:space="0" w:color="auto"/>
            </w:tcBorders>
          </w:tcPr>
          <w:p w14:paraId="6BC8E9E9" w14:textId="77777777" w:rsidR="008F364A" w:rsidRPr="007A74D1" w:rsidRDefault="008F364A">
            <w:pPr>
              <w:keepNext/>
            </w:pPr>
          </w:p>
        </w:tc>
      </w:tr>
      <w:tr w:rsidR="00581844" w14:paraId="7EF5A1B2" w14:textId="77777777" w:rsidTr="00117914">
        <w:trPr>
          <w:trHeight w:val="283"/>
        </w:trPr>
        <w:tc>
          <w:tcPr>
            <w:tcW w:w="4682" w:type="dxa"/>
            <w:gridSpan w:val="2"/>
            <w:tcBorders>
              <w:top w:val="nil"/>
            </w:tcBorders>
          </w:tcPr>
          <w:p w14:paraId="61270B68" w14:textId="77777777" w:rsidR="008F364A" w:rsidRPr="007A74D1" w:rsidRDefault="008F364A">
            <w:pPr>
              <w:keepNext/>
            </w:pPr>
          </w:p>
        </w:tc>
        <w:tc>
          <w:tcPr>
            <w:tcW w:w="4680" w:type="dxa"/>
            <w:tcBorders>
              <w:top w:val="single" w:sz="8" w:space="0" w:color="auto"/>
            </w:tcBorders>
          </w:tcPr>
          <w:p w14:paraId="31ED7D88" w14:textId="60D3D685" w:rsidR="008F364A" w:rsidRPr="00EF7404" w:rsidRDefault="004A6BD6" w:rsidP="00005F75">
            <w:pPr>
              <w:keepNext/>
              <w:rPr>
                <w:lang w:val="en-CA"/>
              </w:rPr>
            </w:pPr>
            <w:r w:rsidRPr="00005F75">
              <w:rPr>
                <w:lang w:val="en-CA"/>
              </w:rPr>
              <w:t>SIMON RUEL, J.A.</w:t>
            </w:r>
          </w:p>
        </w:tc>
      </w:tr>
      <w:tr w:rsidR="00581844" w14:paraId="1D1501F0" w14:textId="77777777" w:rsidTr="00117914">
        <w:trPr>
          <w:trHeight w:val="283"/>
        </w:trPr>
        <w:tc>
          <w:tcPr>
            <w:tcW w:w="4682" w:type="dxa"/>
            <w:gridSpan w:val="2"/>
            <w:tcBorders>
              <w:top w:val="nil"/>
            </w:tcBorders>
          </w:tcPr>
          <w:p w14:paraId="30491AF5" w14:textId="77777777" w:rsidR="008F364A" w:rsidRPr="00EF7404" w:rsidRDefault="008F364A">
            <w:pPr>
              <w:keepNext/>
              <w:rPr>
                <w:lang w:val="en-CA"/>
              </w:rPr>
            </w:pPr>
            <w:bookmarkStart w:id="16" w:name="Signature5"/>
            <w:bookmarkEnd w:id="15"/>
          </w:p>
        </w:tc>
        <w:tc>
          <w:tcPr>
            <w:tcW w:w="4680" w:type="dxa"/>
            <w:tcBorders>
              <w:top w:val="nil"/>
            </w:tcBorders>
          </w:tcPr>
          <w:p w14:paraId="7F9BF50D" w14:textId="77777777" w:rsidR="008F364A" w:rsidRPr="00EF7404" w:rsidRDefault="008F364A">
            <w:pPr>
              <w:keepNext/>
              <w:rPr>
                <w:lang w:val="en-CA"/>
              </w:rPr>
            </w:pPr>
          </w:p>
        </w:tc>
      </w:tr>
      <w:tr w:rsidR="00581844" w14:paraId="33C990EE" w14:textId="77777777" w:rsidTr="00117914">
        <w:trPr>
          <w:trHeight w:val="283"/>
        </w:trPr>
        <w:tc>
          <w:tcPr>
            <w:tcW w:w="4682" w:type="dxa"/>
            <w:gridSpan w:val="2"/>
            <w:tcBorders>
              <w:top w:val="nil"/>
              <w:bottom w:val="nil"/>
            </w:tcBorders>
          </w:tcPr>
          <w:p w14:paraId="49F824BC" w14:textId="77777777" w:rsidR="008F364A" w:rsidRPr="00EF7404" w:rsidRDefault="008F364A">
            <w:pPr>
              <w:keepNext/>
              <w:rPr>
                <w:lang w:val="en-CA"/>
              </w:rPr>
            </w:pPr>
          </w:p>
        </w:tc>
        <w:tc>
          <w:tcPr>
            <w:tcW w:w="4680" w:type="dxa"/>
            <w:tcBorders>
              <w:top w:val="nil"/>
              <w:bottom w:val="single" w:sz="8" w:space="0" w:color="auto"/>
            </w:tcBorders>
          </w:tcPr>
          <w:p w14:paraId="4FA62440" w14:textId="77777777" w:rsidR="008F364A" w:rsidRPr="00EF7404" w:rsidRDefault="008F364A">
            <w:pPr>
              <w:keepNext/>
              <w:rPr>
                <w:lang w:val="en-CA"/>
              </w:rPr>
            </w:pPr>
          </w:p>
        </w:tc>
      </w:tr>
      <w:tr w:rsidR="00581844" w14:paraId="18254D17" w14:textId="77777777" w:rsidTr="00117914">
        <w:trPr>
          <w:trHeight w:val="283"/>
        </w:trPr>
        <w:tc>
          <w:tcPr>
            <w:tcW w:w="4682" w:type="dxa"/>
            <w:gridSpan w:val="2"/>
            <w:tcBorders>
              <w:top w:val="nil"/>
            </w:tcBorders>
          </w:tcPr>
          <w:p w14:paraId="56C9C098" w14:textId="77777777" w:rsidR="008F364A" w:rsidRPr="00EF7404" w:rsidRDefault="008F364A">
            <w:pPr>
              <w:rPr>
                <w:lang w:val="en-CA"/>
              </w:rPr>
            </w:pPr>
          </w:p>
        </w:tc>
        <w:tc>
          <w:tcPr>
            <w:tcW w:w="4680" w:type="dxa"/>
            <w:tcBorders>
              <w:top w:val="single" w:sz="8" w:space="0" w:color="auto"/>
            </w:tcBorders>
          </w:tcPr>
          <w:p w14:paraId="14EE61A9" w14:textId="2EC7E889" w:rsidR="008F364A" w:rsidRPr="00EF7404" w:rsidRDefault="004A6BD6" w:rsidP="00005F75">
            <w:pPr>
              <w:rPr>
                <w:lang w:val="en-CA"/>
              </w:rPr>
            </w:pPr>
            <w:r w:rsidRPr="00005F75">
              <w:rPr>
                <w:lang w:val="en-CA"/>
              </w:rPr>
              <w:t>JOCELYN F. RANCOURT, J.A.</w:t>
            </w:r>
          </w:p>
        </w:tc>
      </w:tr>
      <w:bookmarkEnd w:id="16"/>
      <w:tr w:rsidR="00581844" w14:paraId="48685A84" w14:textId="77777777" w:rsidTr="00423DF1">
        <w:tc>
          <w:tcPr>
            <w:tcW w:w="9362" w:type="dxa"/>
            <w:gridSpan w:val="3"/>
          </w:tcPr>
          <w:p w14:paraId="6A0B23C6" w14:textId="77777777" w:rsidR="005A78BF" w:rsidRPr="00EF7404" w:rsidRDefault="005A78BF" w:rsidP="005A78BF">
            <w:pPr>
              <w:rPr>
                <w:sz w:val="22"/>
                <w:szCs w:val="22"/>
                <w:lang w:val="en-CA"/>
              </w:rPr>
            </w:pPr>
          </w:p>
        </w:tc>
      </w:tr>
      <w:tr w:rsidR="00581844" w14:paraId="57B6EB24" w14:textId="77777777" w:rsidTr="00423DF1">
        <w:tc>
          <w:tcPr>
            <w:tcW w:w="9362" w:type="dxa"/>
            <w:gridSpan w:val="3"/>
          </w:tcPr>
          <w:p w14:paraId="66654FE5" w14:textId="77777777" w:rsidR="005A78BF" w:rsidRPr="007A74D1" w:rsidRDefault="004A6BD6" w:rsidP="005A78BF">
            <w:pPr>
              <w:pStyle w:val="zSoquijdatNomProcureurDem"/>
            </w:pPr>
            <w:r w:rsidRPr="007A74D1">
              <w:t>Mtre Félix Antoine T. Doyon</w:t>
            </w:r>
          </w:p>
        </w:tc>
      </w:tr>
      <w:tr w:rsidR="00581844" w14:paraId="686F2C05" w14:textId="77777777" w:rsidTr="00423DF1">
        <w:tc>
          <w:tcPr>
            <w:tcW w:w="9362" w:type="dxa"/>
            <w:gridSpan w:val="3"/>
          </w:tcPr>
          <w:p w14:paraId="1F67B3F3" w14:textId="77777777" w:rsidR="005A78BF" w:rsidRPr="00EF7404" w:rsidRDefault="004A6BD6" w:rsidP="00C406A6">
            <w:pPr>
              <w:pStyle w:val="zSoquijdatCabinetProcureurDem"/>
              <w:rPr>
                <w:lang w:val="en-CA"/>
              </w:rPr>
            </w:pPr>
            <w:r w:rsidRPr="00EF7404">
              <w:rPr>
                <w:lang w:val="en-CA"/>
              </w:rPr>
              <w:t>LABRECQUE, DOYON AVOCATS</w:t>
            </w:r>
          </w:p>
        </w:tc>
      </w:tr>
      <w:tr w:rsidR="00581844" w14:paraId="5CE804CD" w14:textId="77777777" w:rsidTr="00423DF1">
        <w:tc>
          <w:tcPr>
            <w:tcW w:w="9362" w:type="dxa"/>
            <w:gridSpan w:val="3"/>
          </w:tcPr>
          <w:p w14:paraId="0BF8A53E" w14:textId="77777777" w:rsidR="005A78BF" w:rsidRPr="00EF7404" w:rsidRDefault="004A6BD6" w:rsidP="005A78BF">
            <w:pPr>
              <w:pStyle w:val="zSoquijlblProcureurDem"/>
              <w:rPr>
                <w:lang w:val="en-CA"/>
              </w:rPr>
            </w:pPr>
            <w:r w:rsidRPr="00EF7404">
              <w:rPr>
                <w:lang w:val="en-CA"/>
              </w:rPr>
              <w:t>For the appellant</w:t>
            </w:r>
          </w:p>
        </w:tc>
      </w:tr>
      <w:tr w:rsidR="00581844" w14:paraId="2E6C920F" w14:textId="77777777" w:rsidTr="00423DF1">
        <w:tc>
          <w:tcPr>
            <w:tcW w:w="9362" w:type="dxa"/>
            <w:gridSpan w:val="3"/>
          </w:tcPr>
          <w:p w14:paraId="4C0D1F0A" w14:textId="77777777" w:rsidR="005A78BF" w:rsidRPr="00EF7404" w:rsidRDefault="005A78BF" w:rsidP="005A78BF">
            <w:pPr>
              <w:rPr>
                <w:sz w:val="22"/>
                <w:szCs w:val="22"/>
                <w:lang w:val="en-CA"/>
              </w:rPr>
            </w:pPr>
          </w:p>
        </w:tc>
      </w:tr>
      <w:tr w:rsidR="00581844" w14:paraId="33AC3E14" w14:textId="77777777" w:rsidTr="00423DF1">
        <w:tc>
          <w:tcPr>
            <w:tcW w:w="9362" w:type="dxa"/>
            <w:gridSpan w:val="3"/>
          </w:tcPr>
          <w:p w14:paraId="162C119C" w14:textId="77777777" w:rsidR="005A78BF" w:rsidRPr="00EF7404" w:rsidRDefault="004A6BD6" w:rsidP="005A78BF">
            <w:pPr>
              <w:pStyle w:val="zSoquijdatNomProcureurDef"/>
              <w:rPr>
                <w:lang w:val="en-CA"/>
              </w:rPr>
            </w:pPr>
            <w:r w:rsidRPr="00EF7404">
              <w:rPr>
                <w:lang w:val="en-CA"/>
              </w:rPr>
              <w:t>Mtre Isabelle Cardinal</w:t>
            </w:r>
          </w:p>
        </w:tc>
      </w:tr>
      <w:tr w:rsidR="00581844" w14:paraId="443FCC31" w14:textId="77777777" w:rsidTr="00423DF1">
        <w:tc>
          <w:tcPr>
            <w:tcW w:w="9362" w:type="dxa"/>
            <w:gridSpan w:val="3"/>
          </w:tcPr>
          <w:p w14:paraId="71D645C7" w14:textId="77777777" w:rsidR="005A78BF" w:rsidRPr="00EF7404" w:rsidRDefault="004A6BD6" w:rsidP="005A78BF">
            <w:pPr>
              <w:pStyle w:val="zSoquijdatCabinetProcureurDef"/>
              <w:rPr>
                <w:lang w:val="en-CA"/>
              </w:rPr>
            </w:pPr>
            <w:r w:rsidRPr="00EF7404">
              <w:rPr>
                <w:lang w:val="en-CA"/>
              </w:rPr>
              <w:t>GIASSON &amp; ASSOCIÉS</w:t>
            </w:r>
          </w:p>
        </w:tc>
      </w:tr>
      <w:tr w:rsidR="00581844" w14:paraId="56294A97" w14:textId="77777777" w:rsidTr="00423DF1">
        <w:tc>
          <w:tcPr>
            <w:tcW w:w="9362" w:type="dxa"/>
            <w:gridSpan w:val="3"/>
          </w:tcPr>
          <w:p w14:paraId="5E895907" w14:textId="77777777" w:rsidR="005A78BF" w:rsidRPr="00EF7404" w:rsidRDefault="004A6BD6" w:rsidP="005A78BF">
            <w:pPr>
              <w:pStyle w:val="zSoquijlblProcureurDef"/>
              <w:rPr>
                <w:lang w:val="en-CA"/>
              </w:rPr>
            </w:pPr>
            <w:r w:rsidRPr="00EF7404">
              <w:rPr>
                <w:lang w:val="en-CA"/>
              </w:rPr>
              <w:t>For the respondent</w:t>
            </w:r>
          </w:p>
        </w:tc>
      </w:tr>
      <w:tr w:rsidR="00581844" w14:paraId="16FF7EA0" w14:textId="77777777" w:rsidTr="00423DF1">
        <w:tc>
          <w:tcPr>
            <w:tcW w:w="9362" w:type="dxa"/>
            <w:gridSpan w:val="3"/>
          </w:tcPr>
          <w:p w14:paraId="091F7606" w14:textId="77777777" w:rsidR="00200360" w:rsidRPr="00EF7404" w:rsidRDefault="00200360" w:rsidP="005A78BF">
            <w:pPr>
              <w:rPr>
                <w:sz w:val="22"/>
                <w:szCs w:val="22"/>
                <w:lang w:val="en-CA"/>
              </w:rPr>
            </w:pPr>
          </w:p>
        </w:tc>
      </w:tr>
      <w:tr w:rsidR="00581844" w14:paraId="10D6F4BE" w14:textId="77777777" w:rsidTr="00423DF1">
        <w:tc>
          <w:tcPr>
            <w:tcW w:w="9362" w:type="dxa"/>
            <w:gridSpan w:val="3"/>
          </w:tcPr>
          <w:p w14:paraId="62A98DAD" w14:textId="77777777" w:rsidR="00200360" w:rsidRPr="00EF7404" w:rsidRDefault="004A6BD6" w:rsidP="00200360">
            <w:pPr>
              <w:pStyle w:val="zSoquijdatNomProcureurDef"/>
              <w:rPr>
                <w:lang w:val="en-CA"/>
              </w:rPr>
            </w:pPr>
            <w:r w:rsidRPr="00EF7404">
              <w:rPr>
                <w:lang w:val="en-CA"/>
              </w:rPr>
              <w:t>Mtre Gabriel Bervin</w:t>
            </w:r>
          </w:p>
          <w:p w14:paraId="1DACFF9D" w14:textId="77777777" w:rsidR="00200360" w:rsidRPr="00EF7404" w:rsidRDefault="004A6BD6" w:rsidP="00200360">
            <w:pPr>
              <w:pStyle w:val="zSoquijdatNomProcureurDef"/>
              <w:rPr>
                <w:lang w:val="en-CA"/>
              </w:rPr>
            </w:pPr>
            <w:r w:rsidRPr="00EF7404">
              <w:rPr>
                <w:lang w:val="en-CA"/>
              </w:rPr>
              <w:t>Mtre Justin Tremblay</w:t>
            </w:r>
          </w:p>
        </w:tc>
      </w:tr>
      <w:tr w:rsidR="00581844" w14:paraId="0D1369D7" w14:textId="77777777" w:rsidTr="00423DF1">
        <w:tc>
          <w:tcPr>
            <w:tcW w:w="9362" w:type="dxa"/>
            <w:gridSpan w:val="3"/>
          </w:tcPr>
          <w:p w14:paraId="2177D42C" w14:textId="77777777" w:rsidR="00200360" w:rsidRPr="00EF7404" w:rsidRDefault="004A6BD6" w:rsidP="00200360">
            <w:pPr>
              <w:pStyle w:val="zSoquijdatCabinetProcureurDef"/>
              <w:rPr>
                <w:lang w:val="en-CA"/>
              </w:rPr>
            </w:pPr>
            <w:r w:rsidRPr="00EF7404">
              <w:rPr>
                <w:lang w:val="en-CA"/>
              </w:rPr>
              <w:t>DIRECTOR OF CRIMINAL AND PENAL PROSECUTIONS</w:t>
            </w:r>
          </w:p>
        </w:tc>
      </w:tr>
      <w:tr w:rsidR="00581844" w14:paraId="1383A80A" w14:textId="77777777" w:rsidTr="00423DF1">
        <w:tc>
          <w:tcPr>
            <w:tcW w:w="9362" w:type="dxa"/>
            <w:gridSpan w:val="3"/>
          </w:tcPr>
          <w:p w14:paraId="3CD00604" w14:textId="77777777" w:rsidR="00200360" w:rsidRPr="00EF7404" w:rsidRDefault="004A6BD6" w:rsidP="00200360">
            <w:pPr>
              <w:pStyle w:val="zSoquijlblProcureurDef"/>
              <w:rPr>
                <w:lang w:val="en-CA"/>
              </w:rPr>
            </w:pPr>
            <w:r w:rsidRPr="00EF7404">
              <w:rPr>
                <w:lang w:val="en-CA"/>
              </w:rPr>
              <w:t>For the intervener</w:t>
            </w:r>
          </w:p>
        </w:tc>
      </w:tr>
      <w:tr w:rsidR="00581844" w14:paraId="68F8C9EB" w14:textId="77777777" w:rsidTr="00423DF1">
        <w:tc>
          <w:tcPr>
            <w:tcW w:w="9362" w:type="dxa"/>
            <w:gridSpan w:val="3"/>
          </w:tcPr>
          <w:p w14:paraId="3CD24047" w14:textId="77777777" w:rsidR="005A78BF" w:rsidRPr="00EF7404" w:rsidRDefault="005A78BF" w:rsidP="005A78BF">
            <w:pPr>
              <w:rPr>
                <w:sz w:val="22"/>
                <w:szCs w:val="22"/>
                <w:lang w:val="en-CA"/>
              </w:rPr>
            </w:pPr>
          </w:p>
        </w:tc>
      </w:tr>
      <w:tr w:rsidR="00581844" w14:paraId="3898E105" w14:textId="77777777" w:rsidTr="00423DF1">
        <w:tc>
          <w:tcPr>
            <w:tcW w:w="1997" w:type="dxa"/>
          </w:tcPr>
          <w:p w14:paraId="2B672C51" w14:textId="77777777" w:rsidR="005A78BF" w:rsidRPr="00EF7404" w:rsidRDefault="004A6BD6" w:rsidP="005A78BF">
            <w:pPr>
              <w:pStyle w:val="zSoquijlblDateAudience"/>
              <w:rPr>
                <w:lang w:val="en-CA"/>
              </w:rPr>
            </w:pPr>
            <w:r w:rsidRPr="00EF7404">
              <w:rPr>
                <w:lang w:val="en-CA"/>
              </w:rPr>
              <w:t>Date of hearing:</w:t>
            </w:r>
          </w:p>
        </w:tc>
        <w:tc>
          <w:tcPr>
            <w:tcW w:w="7365" w:type="dxa"/>
            <w:gridSpan w:val="2"/>
          </w:tcPr>
          <w:p w14:paraId="301BE124" w14:textId="77777777" w:rsidR="005A78BF" w:rsidRPr="00EF7404" w:rsidRDefault="004A6BD6" w:rsidP="005A78BF">
            <w:pPr>
              <w:pStyle w:val="zSoquijdatDateAudience"/>
              <w:rPr>
                <w:lang w:val="en-CA"/>
              </w:rPr>
            </w:pPr>
            <w:r w:rsidRPr="00EF7404">
              <w:rPr>
                <w:lang w:val="en-CA"/>
              </w:rPr>
              <w:t>October 22, 2020</w:t>
            </w:r>
          </w:p>
        </w:tc>
      </w:tr>
    </w:tbl>
    <w:p w14:paraId="5BFD4678" w14:textId="77777777" w:rsidR="00B92B76" w:rsidRPr="00EF7404" w:rsidRDefault="00B92B76" w:rsidP="00B92B76">
      <w:pPr>
        <w:rPr>
          <w:lang w:val="en-CA"/>
        </w:rPr>
        <w:sectPr w:rsidR="00B92B76" w:rsidRPr="00EF7404" w:rsidSect="00F43559">
          <w:headerReference w:type="default" r:id="rId9"/>
          <w:pgSz w:w="12242" w:h="15842" w:code="1"/>
          <w:pgMar w:top="1440" w:right="1008" w:bottom="1440" w:left="1872" w:header="1440" w:footer="792" w:gutter="0"/>
          <w:cols w:space="720"/>
          <w:formProt w:val="0"/>
          <w:titlePg/>
        </w:sectPr>
      </w:pPr>
      <w:bookmarkStart w:id="17" w:name="Opinion"/>
      <w:bookmarkEnd w:id="11"/>
    </w:p>
    <w:tbl>
      <w:tblPr>
        <w:tblW w:w="0" w:type="auto"/>
        <w:tblLayout w:type="fixed"/>
        <w:tblCellMar>
          <w:left w:w="0" w:type="dxa"/>
          <w:right w:w="0" w:type="dxa"/>
        </w:tblCellMar>
        <w:tblLook w:val="0000" w:firstRow="0" w:lastRow="0" w:firstColumn="0" w:lastColumn="0" w:noHBand="0" w:noVBand="0"/>
      </w:tblPr>
      <w:tblGrid>
        <w:gridCol w:w="9360"/>
      </w:tblGrid>
      <w:tr w:rsidR="00581844" w14:paraId="11E78116" w14:textId="77777777" w:rsidTr="00F03CC9">
        <w:tc>
          <w:tcPr>
            <w:tcW w:w="9360" w:type="dxa"/>
            <w:tcBorders>
              <w:bottom w:val="single" w:sz="8" w:space="0" w:color="auto"/>
            </w:tcBorders>
          </w:tcPr>
          <w:p w14:paraId="1E8558A4" w14:textId="77777777" w:rsidR="00B92B76" w:rsidRPr="00EF7404" w:rsidRDefault="004A6BD6" w:rsidP="002D323C">
            <w:pPr>
              <w:rPr>
                <w:lang w:val="en-CA"/>
              </w:rPr>
            </w:pPr>
            <w:r w:rsidRPr="00EF7404">
              <w:rPr>
                <w:lang w:val="en-CA"/>
              </w:rPr>
              <w:br w:type="page"/>
            </w:r>
          </w:p>
          <w:p w14:paraId="7CA64665" w14:textId="77777777" w:rsidR="00B92B76" w:rsidRPr="00EF7404" w:rsidRDefault="00B92B76" w:rsidP="002D323C">
            <w:pPr>
              <w:rPr>
                <w:lang w:val="en-CA"/>
              </w:rPr>
            </w:pPr>
          </w:p>
        </w:tc>
      </w:tr>
      <w:tr w:rsidR="00581844" w14:paraId="0A701AC0" w14:textId="77777777" w:rsidTr="00F03CC9">
        <w:tc>
          <w:tcPr>
            <w:tcW w:w="9360" w:type="dxa"/>
            <w:tcBorders>
              <w:top w:val="single" w:sz="8" w:space="0" w:color="auto"/>
            </w:tcBorders>
          </w:tcPr>
          <w:p w14:paraId="794FEE26" w14:textId="77777777" w:rsidR="00B92B76" w:rsidRPr="00EF7404" w:rsidRDefault="00B92B76" w:rsidP="002D323C">
            <w:pPr>
              <w:rPr>
                <w:lang w:val="en-CA"/>
              </w:rPr>
            </w:pPr>
          </w:p>
        </w:tc>
      </w:tr>
      <w:tr w:rsidR="00581844" w14:paraId="7A41F989" w14:textId="77777777" w:rsidTr="00F03CC9">
        <w:tc>
          <w:tcPr>
            <w:tcW w:w="9360" w:type="dxa"/>
          </w:tcPr>
          <w:p w14:paraId="09BEDD71" w14:textId="59D426AC" w:rsidR="00B92B76" w:rsidRPr="00EF7404" w:rsidRDefault="004A6BD6" w:rsidP="002D323C">
            <w:pPr>
              <w:pStyle w:val="zSoquijlblOpinionJuge"/>
              <w:rPr>
                <w:lang w:val="en-CA"/>
              </w:rPr>
            </w:pPr>
            <w:r>
              <w:rPr>
                <w:lang w:val="en-CA"/>
              </w:rPr>
              <w:t>REASONS OF DOYON, J.A.</w:t>
            </w:r>
          </w:p>
        </w:tc>
      </w:tr>
      <w:tr w:rsidR="00581844" w14:paraId="68A17E7F" w14:textId="77777777" w:rsidTr="00F03CC9">
        <w:tc>
          <w:tcPr>
            <w:tcW w:w="9360" w:type="dxa"/>
            <w:tcBorders>
              <w:bottom w:val="single" w:sz="8" w:space="0" w:color="auto"/>
            </w:tcBorders>
          </w:tcPr>
          <w:p w14:paraId="500EF388" w14:textId="77777777" w:rsidR="00B92B76" w:rsidRPr="00EF7404" w:rsidRDefault="00B92B76" w:rsidP="002D323C">
            <w:pPr>
              <w:rPr>
                <w:lang w:val="en-CA"/>
              </w:rPr>
            </w:pPr>
          </w:p>
        </w:tc>
      </w:tr>
      <w:tr w:rsidR="00581844" w14:paraId="180CA4CF" w14:textId="77777777" w:rsidTr="00F03CC9">
        <w:tc>
          <w:tcPr>
            <w:tcW w:w="9360" w:type="dxa"/>
            <w:tcBorders>
              <w:top w:val="single" w:sz="8" w:space="0" w:color="auto"/>
            </w:tcBorders>
          </w:tcPr>
          <w:p w14:paraId="167EC307" w14:textId="77777777" w:rsidR="00B92B76" w:rsidRPr="00EF7404" w:rsidRDefault="00B92B76" w:rsidP="002D323C">
            <w:pPr>
              <w:rPr>
                <w:lang w:val="en-CA"/>
              </w:rPr>
            </w:pPr>
          </w:p>
        </w:tc>
      </w:tr>
    </w:tbl>
    <w:p w14:paraId="381B54B1" w14:textId="34A4A778" w:rsidR="00B92B76" w:rsidRPr="00EF7404" w:rsidRDefault="004A6BD6" w:rsidP="002D323C">
      <w:pPr>
        <w:pStyle w:val="Paragraphe"/>
        <w:spacing w:line="280" w:lineRule="exact"/>
        <w:rPr>
          <w:lang w:val="en-CA"/>
        </w:rPr>
      </w:pPr>
      <w:r>
        <w:rPr>
          <w:lang w:val="en-CA"/>
        </w:rPr>
        <w:t>“</w:t>
      </w:r>
      <w:r w:rsidR="0094427C" w:rsidRPr="00EF7404">
        <w:rPr>
          <w:lang w:val="en-CA"/>
        </w:rPr>
        <w:t>Forthwith</w:t>
      </w:r>
      <w:r>
        <w:rPr>
          <w:lang w:val="en-CA"/>
        </w:rPr>
        <w:t>”</w:t>
      </w:r>
      <w:r w:rsidR="0094427C" w:rsidRPr="00EF7404">
        <w:rPr>
          <w:lang w:val="en-CA"/>
        </w:rPr>
        <w:t xml:space="preserve"> means </w:t>
      </w:r>
      <w:r>
        <w:rPr>
          <w:lang w:val="en-CA"/>
        </w:rPr>
        <w:t>“</w:t>
      </w:r>
      <w:r w:rsidR="0094427C" w:rsidRPr="00EF7404">
        <w:rPr>
          <w:lang w:val="en-CA"/>
        </w:rPr>
        <w:t>forthwith</w:t>
      </w:r>
      <w:r>
        <w:rPr>
          <w:lang w:val="en-CA"/>
        </w:rPr>
        <w:t>”</w:t>
      </w:r>
      <w:r w:rsidR="0094427C" w:rsidRPr="00EF7404">
        <w:rPr>
          <w:lang w:val="en-CA"/>
        </w:rPr>
        <w:t xml:space="preserve"> when</w:t>
      </w:r>
      <w:r w:rsidR="00EF7404">
        <w:rPr>
          <w:lang w:val="en-CA"/>
        </w:rPr>
        <w:t xml:space="preserve"> referring to breath samples.</w:t>
      </w:r>
    </w:p>
    <w:p w14:paraId="0B8CECAF" w14:textId="137E63F7" w:rsidR="00B92B76" w:rsidRPr="00EF7404" w:rsidRDefault="004A6BD6" w:rsidP="002D323C">
      <w:pPr>
        <w:pStyle w:val="Paragraphe"/>
        <w:spacing w:line="280" w:lineRule="exact"/>
        <w:rPr>
          <w:lang w:val="en-CA"/>
        </w:rPr>
      </w:pPr>
      <w:r w:rsidRPr="00EF7404">
        <w:rPr>
          <w:lang w:val="en-CA"/>
        </w:rPr>
        <w:t xml:space="preserve">The appellant appeals against a judgment rendered on February 21, 2020 by the Superior Court, district of Quebec (the Honourable Mr. Justice Raymond W. Pronovost), which dismissed his appeal of the decision rendered on June 26, 2019 by the Municipal Court of the City of Quebec. The Municipal Court had convicted him of the offence set out in s. 254(5) </w:t>
      </w:r>
      <w:r w:rsidRPr="00EF7404">
        <w:rPr>
          <w:i/>
          <w:iCs/>
          <w:lang w:val="en-CA"/>
        </w:rPr>
        <w:t>Cr.C.</w:t>
      </w:r>
      <w:r w:rsidRPr="00EF7404">
        <w:rPr>
          <w:lang w:val="en-CA"/>
        </w:rPr>
        <w:t>, as it was then in force, after having determined that the demand to provide a breath sample using an approved screening device (</w:t>
      </w:r>
      <w:r w:rsidR="005F64AB">
        <w:rPr>
          <w:lang w:val="en-CA"/>
        </w:rPr>
        <w:t>“</w:t>
      </w:r>
      <w:r w:rsidRPr="00EF7404">
        <w:rPr>
          <w:lang w:val="en-CA"/>
        </w:rPr>
        <w:t>ASD</w:t>
      </w:r>
      <w:r w:rsidR="005F64AB">
        <w:rPr>
          <w:lang w:val="en-CA"/>
        </w:rPr>
        <w:t>”</w:t>
      </w:r>
      <w:r w:rsidRPr="00EF7404">
        <w:rPr>
          <w:lang w:val="en-CA"/>
        </w:rPr>
        <w:t>) was valid.</w:t>
      </w:r>
    </w:p>
    <w:p w14:paraId="3860BC02" w14:textId="77777777" w:rsidR="00B92B76" w:rsidRPr="00EF7404" w:rsidRDefault="004A6BD6" w:rsidP="002D323C">
      <w:pPr>
        <w:pStyle w:val="Titre1"/>
        <w:spacing w:line="280" w:lineRule="exact"/>
        <w:rPr>
          <w:lang w:val="en-CA"/>
        </w:rPr>
      </w:pPr>
      <w:r w:rsidRPr="00EF7404">
        <w:rPr>
          <w:bCs/>
          <w:lang w:val="en-CA"/>
        </w:rPr>
        <w:t>Context</w:t>
      </w:r>
    </w:p>
    <w:p w14:paraId="721968AC" w14:textId="60232379" w:rsidR="00B92B76" w:rsidRPr="00EF7404" w:rsidRDefault="004A6BD6" w:rsidP="002D323C">
      <w:pPr>
        <w:pStyle w:val="Paragraphe"/>
        <w:spacing w:line="280" w:lineRule="exact"/>
        <w:rPr>
          <w:lang w:val="en-CA"/>
        </w:rPr>
      </w:pPr>
      <w:r w:rsidRPr="00EF7404">
        <w:rPr>
          <w:lang w:val="en-CA"/>
        </w:rPr>
        <w:t>On April 2, 2017, at approximately 1:30 p.m., police officers Atkins and Côté-Lemieux received a phone call from trail patrollers informing them that an individual was driving an all-terrain vehicle (</w:t>
      </w:r>
      <w:r w:rsidR="005F64AB">
        <w:rPr>
          <w:lang w:val="en-CA"/>
        </w:rPr>
        <w:t>“</w:t>
      </w:r>
      <w:r w:rsidRPr="00EF7404">
        <w:rPr>
          <w:lang w:val="en-CA"/>
        </w:rPr>
        <w:t>ATV</w:t>
      </w:r>
      <w:r w:rsidR="005F64AB">
        <w:rPr>
          <w:lang w:val="en-CA"/>
        </w:rPr>
        <w:t>”</w:t>
      </w:r>
      <w:r w:rsidRPr="00EF7404">
        <w:rPr>
          <w:lang w:val="en-CA"/>
        </w:rPr>
        <w:t xml:space="preserve">) while drunk. </w:t>
      </w:r>
      <w:r w:rsidR="00D1575B">
        <w:rPr>
          <w:lang w:val="en-CA"/>
        </w:rPr>
        <w:t xml:space="preserve">As </w:t>
      </w:r>
      <w:r w:rsidRPr="00EF7404">
        <w:rPr>
          <w:lang w:val="en-CA"/>
        </w:rPr>
        <w:t xml:space="preserve">they were heading towards the scene of the offence, they were informed that the driver was about to leave the area on foot. He was wearing a black coat and had abandoned the ATV in a parking lot. </w:t>
      </w:r>
    </w:p>
    <w:p w14:paraId="53D1876B" w14:textId="0EBAE6D6" w:rsidR="00B92B76" w:rsidRPr="00EF7404" w:rsidRDefault="004A6BD6" w:rsidP="002D323C">
      <w:pPr>
        <w:pStyle w:val="Paragraphe"/>
        <w:spacing w:line="280" w:lineRule="exact"/>
        <w:rPr>
          <w:lang w:val="en-CA"/>
        </w:rPr>
      </w:pPr>
      <w:r w:rsidRPr="00EF7404">
        <w:rPr>
          <w:lang w:val="en-CA"/>
        </w:rPr>
        <w:t>At 1:35 p.m., the police officers arrived at the scene and officer Atkins stopped the appellant, who was walking away from the patrollers. Mr. Breault identified himself with his driver</w:t>
      </w:r>
      <w:r w:rsidR="005F64AB">
        <w:rPr>
          <w:lang w:val="en-CA"/>
        </w:rPr>
        <w:t>’</w:t>
      </w:r>
      <w:r w:rsidRPr="00EF7404">
        <w:rPr>
          <w:lang w:val="en-CA"/>
        </w:rPr>
        <w:t xml:space="preserve">s licence and said that he had not been driving the ATV. He said the driver was a lady who was also walking away. The police officer smelled a strong odour of alcohol and noted that his eyes were bloodshot. </w:t>
      </w:r>
    </w:p>
    <w:p w14:paraId="2844F44E" w14:textId="760DDE19" w:rsidR="00B92B76" w:rsidRPr="00EF7404" w:rsidRDefault="004A6BD6" w:rsidP="002D323C">
      <w:pPr>
        <w:pStyle w:val="Paragraphe"/>
        <w:spacing w:line="280" w:lineRule="exact"/>
        <w:rPr>
          <w:lang w:val="en-CA"/>
        </w:rPr>
      </w:pPr>
      <w:r w:rsidRPr="00EF7404">
        <w:rPr>
          <w:lang w:val="en-CA"/>
        </w:rPr>
        <w:t>As for police officer Côté-Lemieux, he went to meet with the patrollers, who confirmed that it was indeed the individual stopped by police officer Atkins who had been driving the ATV. They had noted an odour of alcohol. Officer Côté-Lemieux joined officer Atkins and told him that it was indeed the appellant who had been driving the ATV. Office</w:t>
      </w:r>
      <w:r w:rsidR="0001784E">
        <w:rPr>
          <w:lang w:val="en-CA"/>
        </w:rPr>
        <w:t>r</w:t>
      </w:r>
      <w:r w:rsidRPr="00EF7404">
        <w:rPr>
          <w:lang w:val="en-CA"/>
        </w:rPr>
        <w:t xml:space="preserve"> Atkins asked the appellant whether he had consumed alcohol. He replied that he had had one beer, but reiterated that he had not been driving the ATV.</w:t>
      </w:r>
    </w:p>
    <w:p w14:paraId="785D2568" w14:textId="1852AB54" w:rsidR="00B92B76" w:rsidRPr="00EF7404" w:rsidRDefault="004A6BD6" w:rsidP="002D323C">
      <w:pPr>
        <w:pStyle w:val="Paragraphe"/>
        <w:spacing w:line="280" w:lineRule="exact"/>
        <w:rPr>
          <w:lang w:val="en-CA"/>
        </w:rPr>
      </w:pPr>
      <w:r w:rsidRPr="00EF7404">
        <w:rPr>
          <w:lang w:val="en-CA"/>
        </w:rPr>
        <w:t xml:space="preserve">Since officers Atkins and Côté-Lemieux did not have an ASD in their possession, officer Atkins </w:t>
      </w:r>
      <w:r w:rsidR="00746BCE">
        <w:rPr>
          <w:lang w:val="en-CA"/>
        </w:rPr>
        <w:t xml:space="preserve">radioed </w:t>
      </w:r>
      <w:r w:rsidRPr="00EF7404">
        <w:rPr>
          <w:lang w:val="en-CA"/>
        </w:rPr>
        <w:t>for one. It was 1:41 p.m. A police officer patrolling another area replied that he had one and would bring it to him. Officer Atkins estimated that the delay to obtain the ASD would have been approximately 10 minutes, although a 15-minute delay would also have been conceivable. As for police officer Côté-Lemieux, he stated that the ASD would have been delivered [</w:t>
      </w:r>
      <w:r w:rsidRPr="00EF7404">
        <w:rPr>
          <w:smallCaps/>
          <w:lang w:val="en-CA"/>
        </w:rPr>
        <w:t>translation</w:t>
      </w:r>
      <w:r w:rsidRPr="00EF7404">
        <w:rPr>
          <w:lang w:val="en-CA"/>
        </w:rPr>
        <w:t xml:space="preserve">] </w:t>
      </w:r>
      <w:r w:rsidR="005F64AB">
        <w:rPr>
          <w:lang w:val="en-CA"/>
        </w:rPr>
        <w:t>“</w:t>
      </w:r>
      <w:r w:rsidRPr="00EF7404">
        <w:rPr>
          <w:lang w:val="en-CA"/>
        </w:rPr>
        <w:t>within 10 minutes, you know, I can</w:t>
      </w:r>
      <w:r w:rsidR="005F64AB">
        <w:rPr>
          <w:lang w:val="en-CA"/>
        </w:rPr>
        <w:t>’</w:t>
      </w:r>
      <w:r w:rsidRPr="00EF7404">
        <w:rPr>
          <w:lang w:val="en-CA"/>
        </w:rPr>
        <w:t>t believe it wouldn</w:t>
      </w:r>
      <w:r w:rsidR="005F64AB">
        <w:rPr>
          <w:lang w:val="en-CA"/>
        </w:rPr>
        <w:t>’</w:t>
      </w:r>
      <w:r w:rsidRPr="00EF7404">
        <w:rPr>
          <w:lang w:val="en-CA"/>
        </w:rPr>
        <w:t>t have arrived by then, you know, it</w:t>
      </w:r>
      <w:r w:rsidR="005F64AB">
        <w:rPr>
          <w:lang w:val="en-CA"/>
        </w:rPr>
        <w:t>’</w:t>
      </w:r>
      <w:r w:rsidRPr="00EF7404">
        <w:rPr>
          <w:lang w:val="en-CA"/>
        </w:rPr>
        <w:t>s practically impossible</w:t>
      </w:r>
      <w:r w:rsidR="005F64AB">
        <w:rPr>
          <w:lang w:val="en-CA"/>
        </w:rPr>
        <w:t>”</w:t>
      </w:r>
      <w:r w:rsidRPr="00EF7404">
        <w:rPr>
          <w:lang w:val="en-CA"/>
        </w:rPr>
        <w:t>. And yet, it had still not arrived 20 minutes later, when the request to bring the ASD was cancelled because of t</w:t>
      </w:r>
      <w:r w:rsidR="00EF7404">
        <w:rPr>
          <w:lang w:val="en-CA"/>
        </w:rPr>
        <w:t>he events that followed</w:t>
      </w:r>
      <w:r w:rsidRPr="00EF7404">
        <w:rPr>
          <w:lang w:val="en-CA"/>
        </w:rPr>
        <w:t xml:space="preserve">. </w:t>
      </w:r>
    </w:p>
    <w:p w14:paraId="2870F527" w14:textId="368366F8" w:rsidR="00B92B76" w:rsidRPr="00EF7404" w:rsidRDefault="004A6BD6" w:rsidP="002D323C">
      <w:pPr>
        <w:pStyle w:val="Paragraphe"/>
        <w:spacing w:line="280" w:lineRule="exact"/>
        <w:rPr>
          <w:lang w:val="en-CA"/>
        </w:rPr>
      </w:pPr>
      <w:r w:rsidRPr="00EF7404">
        <w:rPr>
          <w:lang w:val="en-CA"/>
        </w:rPr>
        <w:t>Police officer Atkins further testified</w:t>
      </w:r>
      <w:r w:rsidR="0001784E">
        <w:rPr>
          <w:lang w:val="en-CA"/>
        </w:rPr>
        <w:t>,</w:t>
      </w:r>
      <w:r w:rsidRPr="00EF7404">
        <w:rPr>
          <w:lang w:val="en-CA"/>
        </w:rPr>
        <w:t xml:space="preserve"> [</w:t>
      </w:r>
      <w:r w:rsidR="00EF7404" w:rsidRPr="00EF7404">
        <w:rPr>
          <w:smallCaps/>
          <w:lang w:val="en-CA"/>
        </w:rPr>
        <w:t>translation</w:t>
      </w:r>
      <w:r w:rsidRPr="00EF7404">
        <w:rPr>
          <w:lang w:val="en-CA"/>
        </w:rPr>
        <w:t xml:space="preserve">] </w:t>
      </w:r>
      <w:r w:rsidR="005F64AB">
        <w:rPr>
          <w:lang w:val="en-CA"/>
        </w:rPr>
        <w:t>“</w:t>
      </w:r>
      <w:r w:rsidRPr="00EF7404">
        <w:rPr>
          <w:lang w:val="en-CA"/>
        </w:rPr>
        <w:t>In order not to waste time and given that, at that time, I had reasonable suspicion to believe Mr. Breault had driven the ATV while impaired by alcohol, I ordered him to provide a breath sample using the approved screening device</w:t>
      </w:r>
      <w:r w:rsidR="005F64AB">
        <w:rPr>
          <w:lang w:val="en-CA"/>
        </w:rPr>
        <w:t>”</w:t>
      </w:r>
      <w:r w:rsidRPr="00EF7404">
        <w:rPr>
          <w:lang w:val="en-CA"/>
        </w:rPr>
        <w:t>, even though he did not yet have the device in his possession. It was still 1:41 p.m. Officer Atkins explained the consequences of a refusal to the appellant. The appellant asked to speak with his lawyer, which the police officer refused, given that he was not under arrest. As of 1:45 p.m., the appellant refused three times to provide a breath sample using an ASD, each time stating that he had not been driving the ATV. The last refusal took place at 1:53 p.m., still before the arrival of the ASD.</w:t>
      </w:r>
    </w:p>
    <w:p w14:paraId="1079A214" w14:textId="77777777" w:rsidR="00B92B76" w:rsidRPr="00EF7404" w:rsidRDefault="004A6BD6" w:rsidP="002D323C">
      <w:pPr>
        <w:pStyle w:val="Paragraphe"/>
        <w:spacing w:line="280" w:lineRule="exact"/>
        <w:rPr>
          <w:lang w:val="en-CA"/>
        </w:rPr>
      </w:pPr>
      <w:r w:rsidRPr="00EF7404">
        <w:rPr>
          <w:lang w:val="en-CA"/>
        </w:rPr>
        <w:t>Consequently, the appellant was placed under arrest for refusing to provide a breath sample.</w:t>
      </w:r>
    </w:p>
    <w:p w14:paraId="254B82A1" w14:textId="6A120D6F" w:rsidR="00B92B76" w:rsidRPr="00EF7404" w:rsidRDefault="004A6BD6" w:rsidP="002D323C">
      <w:pPr>
        <w:pStyle w:val="Paragraphe"/>
        <w:spacing w:line="280" w:lineRule="exact"/>
        <w:rPr>
          <w:lang w:val="en-CA"/>
        </w:rPr>
      </w:pPr>
      <w:r w:rsidRPr="00EF7404">
        <w:rPr>
          <w:lang w:val="en-CA"/>
        </w:rPr>
        <w:t>At approximately 2 p.m., the police officers cancelled the request for an ASD because of the refusal. As police officer Atkins testified</w:t>
      </w:r>
      <w:r w:rsidR="0001784E">
        <w:rPr>
          <w:lang w:val="en-CA"/>
        </w:rPr>
        <w:t>,</w:t>
      </w:r>
      <w:r w:rsidRPr="00EF7404">
        <w:rPr>
          <w:lang w:val="en-CA"/>
        </w:rPr>
        <w:t xml:space="preserve"> [</w:t>
      </w:r>
      <w:r w:rsidR="00EF7404" w:rsidRPr="00EF7404">
        <w:rPr>
          <w:smallCaps/>
          <w:lang w:val="en-CA"/>
        </w:rPr>
        <w:t>translation</w:t>
      </w:r>
      <w:r w:rsidRPr="00EF7404">
        <w:rPr>
          <w:lang w:val="en-CA"/>
        </w:rPr>
        <w:t xml:space="preserve">] </w:t>
      </w:r>
      <w:r w:rsidR="005F64AB">
        <w:rPr>
          <w:lang w:val="en-CA"/>
        </w:rPr>
        <w:t>“</w:t>
      </w:r>
      <w:r w:rsidRPr="00EF7404">
        <w:rPr>
          <w:lang w:val="en-CA"/>
        </w:rPr>
        <w:t>I radioed to cancel the approved screening device, that it was not necessary, because the gentleman was not inclined to blow into it. Therefore, the device never arrived at the scene</w:t>
      </w:r>
      <w:r w:rsidR="005F64AB">
        <w:rPr>
          <w:lang w:val="en-CA"/>
        </w:rPr>
        <w:t>”</w:t>
      </w:r>
      <w:r w:rsidRPr="00EF7404">
        <w:rPr>
          <w:lang w:val="en-CA"/>
        </w:rPr>
        <w:t xml:space="preserve">. The appellant was then released after having handed over the keys of the ATV to the police officers. </w:t>
      </w:r>
    </w:p>
    <w:p w14:paraId="5CDF1827" w14:textId="77777777" w:rsidR="00B92B76" w:rsidRPr="00EF7404" w:rsidRDefault="004A6BD6" w:rsidP="002D323C">
      <w:pPr>
        <w:pStyle w:val="Paragraphe"/>
        <w:spacing w:line="280" w:lineRule="exact"/>
        <w:rPr>
          <w:lang w:val="en-CA"/>
        </w:rPr>
      </w:pPr>
      <w:r w:rsidRPr="00EF7404">
        <w:rPr>
          <w:lang w:val="en-CA"/>
        </w:rPr>
        <w:t>In short, the appellant refused to provide a breath sample using a device that was not in the possession of the police officers and that never came to be in their possession.</w:t>
      </w:r>
    </w:p>
    <w:p w14:paraId="75AE7CD0" w14:textId="77777777" w:rsidR="00B92B76" w:rsidRPr="00EF7404" w:rsidRDefault="004A6BD6" w:rsidP="002D323C">
      <w:pPr>
        <w:pStyle w:val="Paragraphe"/>
        <w:spacing w:line="280" w:lineRule="exact"/>
        <w:rPr>
          <w:lang w:val="en-CA"/>
        </w:rPr>
      </w:pPr>
      <w:r w:rsidRPr="00EF7404">
        <w:rPr>
          <w:lang w:val="en-CA"/>
        </w:rPr>
        <w:t>The following is the text of the charge pursuant to which he was found guilty:</w:t>
      </w:r>
    </w:p>
    <w:p w14:paraId="41F71FF0" w14:textId="77777777" w:rsidR="00EF7404" w:rsidRDefault="004A6BD6" w:rsidP="002D323C">
      <w:pPr>
        <w:pStyle w:val="Citationenretrait"/>
        <w:rPr>
          <w:lang w:val="en-CA"/>
        </w:rPr>
      </w:pPr>
      <w:r w:rsidRPr="00EF7404">
        <w:rPr>
          <w:lang w:val="en-CA"/>
        </w:rPr>
        <w:t>[</w:t>
      </w:r>
      <w:r w:rsidRPr="00EF7404">
        <w:rPr>
          <w:smallCaps/>
          <w:lang w:val="en-CA"/>
        </w:rPr>
        <w:t>translation</w:t>
      </w:r>
      <w:r w:rsidRPr="00EF7404">
        <w:rPr>
          <w:lang w:val="en-CA"/>
        </w:rPr>
        <w:t>]</w:t>
      </w:r>
    </w:p>
    <w:p w14:paraId="40911513" w14:textId="77777777" w:rsidR="00B92B76" w:rsidRPr="00EF7404" w:rsidRDefault="004A6BD6" w:rsidP="002D323C">
      <w:pPr>
        <w:pStyle w:val="Citationenretrait"/>
        <w:rPr>
          <w:lang w:val="en-CA"/>
        </w:rPr>
      </w:pPr>
      <w:r w:rsidRPr="00EF7404">
        <w:rPr>
          <w:lang w:val="en-CA"/>
        </w:rPr>
        <w:t>On or about April 2, 2017, in Quebec City, district of Quebec, failed to comply with a demand made to him by a peace officer under s. 254 (2) of the Criminal Code, thereby committing the offence punishable on summary conviction provided for in ss. 254(5) and 255(1) of the Criminal Code.</w:t>
      </w:r>
    </w:p>
    <w:p w14:paraId="18E26068" w14:textId="231189A9" w:rsidR="00B92B76" w:rsidRPr="00EF7404" w:rsidRDefault="004A6BD6" w:rsidP="002D323C">
      <w:pPr>
        <w:pStyle w:val="Paragraphe"/>
        <w:spacing w:line="280" w:lineRule="exact"/>
        <w:rPr>
          <w:lang w:val="en-CA"/>
        </w:rPr>
      </w:pPr>
      <w:r w:rsidRPr="00EF7404">
        <w:rPr>
          <w:lang w:val="en-CA"/>
        </w:rPr>
        <w:t xml:space="preserve">It is necessary to set out the provision which, at the time, permitted police officers to make a demand to provide </w:t>
      </w:r>
      <w:r w:rsidR="005F64AB">
        <w:rPr>
          <w:lang w:val="en-CA"/>
        </w:rPr>
        <w:t>“</w:t>
      </w:r>
      <w:r w:rsidRPr="00EF7404">
        <w:rPr>
          <w:lang w:val="en-CA"/>
        </w:rPr>
        <w:t>forthwith</w:t>
      </w:r>
      <w:r w:rsidR="005F64AB">
        <w:rPr>
          <w:lang w:val="en-CA"/>
        </w:rPr>
        <w:t>”</w:t>
      </w:r>
      <w:r w:rsidRPr="00EF7404">
        <w:rPr>
          <w:lang w:val="en-CA"/>
        </w:rPr>
        <w:t xml:space="preserve"> a breath sample using an ASD:</w:t>
      </w:r>
    </w:p>
    <w:tbl>
      <w:tblPr>
        <w:tblW w:w="0" w:type="auto"/>
        <w:tblLayout w:type="fixed"/>
        <w:tblCellMar>
          <w:left w:w="70" w:type="dxa"/>
          <w:right w:w="70" w:type="dxa"/>
        </w:tblCellMar>
        <w:tblLook w:val="0000" w:firstRow="0" w:lastRow="0" w:firstColumn="0" w:lastColumn="0" w:noHBand="0" w:noVBand="0"/>
      </w:tblPr>
      <w:tblGrid>
        <w:gridCol w:w="4681"/>
        <w:gridCol w:w="4681"/>
      </w:tblGrid>
      <w:tr w:rsidR="00581844" w14:paraId="55AD2F6C" w14:textId="77777777" w:rsidTr="00F03CC9">
        <w:tc>
          <w:tcPr>
            <w:tcW w:w="4681" w:type="dxa"/>
            <w:shd w:val="clear" w:color="auto" w:fill="auto"/>
          </w:tcPr>
          <w:p w14:paraId="3F993BD7" w14:textId="77777777" w:rsidR="00B92B76" w:rsidRPr="00EF7404" w:rsidRDefault="004A6BD6" w:rsidP="002D323C">
            <w:pPr>
              <w:pStyle w:val="Tableaugauchefranais"/>
              <w:spacing w:after="120"/>
              <w:rPr>
                <w:b/>
                <w:lang w:val="en-CA"/>
              </w:rPr>
            </w:pPr>
            <w:r w:rsidRPr="00EF7404">
              <w:rPr>
                <w:b/>
                <w:bCs/>
                <w:lang w:val="en-CA"/>
              </w:rPr>
              <w:t>Testing for presence of alcohol or a drug</w:t>
            </w:r>
          </w:p>
          <w:p w14:paraId="74997A93" w14:textId="77777777" w:rsidR="00B92B76" w:rsidRPr="00EF7404" w:rsidRDefault="004A6BD6" w:rsidP="002D323C">
            <w:pPr>
              <w:pStyle w:val="Tableaugauchefranais"/>
              <w:spacing w:after="120"/>
              <w:jc w:val="both"/>
              <w:rPr>
                <w:lang w:val="en-CA"/>
              </w:rPr>
            </w:pPr>
            <w:r w:rsidRPr="00EF7404">
              <w:rPr>
                <w:lang w:val="en-CA"/>
              </w:rPr>
              <w:t>254(2) If a peace officer has reasonable grounds to suspect that a person has alcohol or a drug in their body and that the person has, within the preceding three hours, operated a motor vehicle or vessel, operated or assisted in the operation of an aircraft or railway equipment or had the care or control of a motor vehicle, a vessel, an aircraft or railway equipment, whether it was in motion or not, the peace officer may, by demand, require the person to comply with paragraph (a), in the case of a drug, or with either or both of paragraphs (a) and (b), in the case of alcohol:</w:t>
            </w:r>
          </w:p>
          <w:p w14:paraId="5317794F" w14:textId="77777777" w:rsidR="004F47B3" w:rsidRDefault="004F47B3" w:rsidP="002D323C">
            <w:pPr>
              <w:pStyle w:val="Tableaugauchefranais"/>
              <w:spacing w:after="120"/>
              <w:jc w:val="both"/>
              <w:rPr>
                <w:lang w:val="en-CA"/>
              </w:rPr>
            </w:pPr>
          </w:p>
          <w:p w14:paraId="4695A46A" w14:textId="77777777" w:rsidR="004F47B3" w:rsidRDefault="004F47B3" w:rsidP="002D323C">
            <w:pPr>
              <w:pStyle w:val="Tableaugauchefranais"/>
              <w:spacing w:after="120"/>
              <w:jc w:val="both"/>
              <w:rPr>
                <w:lang w:val="en-CA"/>
              </w:rPr>
            </w:pPr>
          </w:p>
          <w:p w14:paraId="75D152BE" w14:textId="77777777" w:rsidR="004F47B3" w:rsidRDefault="004F47B3" w:rsidP="002D323C">
            <w:pPr>
              <w:pStyle w:val="Tableaugauchefranais"/>
              <w:spacing w:after="120"/>
              <w:jc w:val="both"/>
              <w:rPr>
                <w:lang w:val="en-CA"/>
              </w:rPr>
            </w:pPr>
          </w:p>
          <w:p w14:paraId="7A6033DD" w14:textId="77777777" w:rsidR="004F47B3" w:rsidRDefault="004F47B3" w:rsidP="002D323C">
            <w:pPr>
              <w:pStyle w:val="Tableaugauchefranais"/>
              <w:spacing w:after="120"/>
              <w:jc w:val="both"/>
              <w:rPr>
                <w:lang w:val="en-CA"/>
              </w:rPr>
            </w:pPr>
          </w:p>
          <w:p w14:paraId="3F004094" w14:textId="77777777" w:rsidR="00B92B76" w:rsidRPr="00EF7404" w:rsidRDefault="004A6BD6" w:rsidP="002D323C">
            <w:pPr>
              <w:pStyle w:val="Tableaugauchefranais"/>
              <w:spacing w:before="360" w:after="120"/>
              <w:ind w:right="142"/>
              <w:jc w:val="both"/>
              <w:rPr>
                <w:lang w:val="en-CA"/>
              </w:rPr>
            </w:pPr>
            <w:r w:rsidRPr="00EF7404">
              <w:rPr>
                <w:lang w:val="en-CA"/>
              </w:rPr>
              <w:t>[…]</w:t>
            </w:r>
          </w:p>
          <w:p w14:paraId="07BA4C41" w14:textId="62040512" w:rsidR="00B92B76" w:rsidRPr="00EF7404" w:rsidRDefault="004A6BD6" w:rsidP="002D323C">
            <w:pPr>
              <w:pStyle w:val="Tableaugauchefranais"/>
              <w:jc w:val="both"/>
              <w:rPr>
                <w:lang w:val="en-CA"/>
              </w:rPr>
            </w:pPr>
            <w:r w:rsidRPr="00EF7404">
              <w:rPr>
                <w:b/>
                <w:bCs/>
                <w:lang w:val="en-CA"/>
              </w:rPr>
              <w:t>(b)</w:t>
            </w:r>
            <w:r w:rsidRPr="00EF7404">
              <w:rPr>
                <w:lang w:val="en-CA"/>
              </w:rPr>
              <w:t xml:space="preserve"> to provide forthwith a sample of breath that, in the peace officer</w:t>
            </w:r>
            <w:r w:rsidR="005F64AB">
              <w:rPr>
                <w:lang w:val="en-CA"/>
              </w:rPr>
              <w:t>’</w:t>
            </w:r>
            <w:r w:rsidRPr="00EF7404">
              <w:rPr>
                <w:lang w:val="en-CA"/>
              </w:rPr>
              <w:t>s opinion, will enable a proper analysis to be made by means of an approved screening device and, if necessary, to accompany the peace officer for that purpose.</w:t>
            </w:r>
          </w:p>
        </w:tc>
        <w:tc>
          <w:tcPr>
            <w:tcW w:w="4681" w:type="dxa"/>
            <w:shd w:val="clear" w:color="auto" w:fill="auto"/>
          </w:tcPr>
          <w:p w14:paraId="110C0EF7" w14:textId="66F4BD50" w:rsidR="00B92B76" w:rsidRPr="007A74D1" w:rsidRDefault="004A6BD6" w:rsidP="002D323C">
            <w:pPr>
              <w:pStyle w:val="Tableaudroiteanglais"/>
              <w:spacing w:after="120"/>
              <w:rPr>
                <w:b/>
                <w:lang w:val="fr-CA"/>
              </w:rPr>
            </w:pPr>
            <w:r w:rsidRPr="007A74D1">
              <w:rPr>
                <w:b/>
                <w:bCs/>
                <w:lang w:val="fr-CA"/>
              </w:rPr>
              <w:t>Contrôle pour vérifier la présence d</w:t>
            </w:r>
            <w:r w:rsidR="005F64AB" w:rsidRPr="007A74D1">
              <w:rPr>
                <w:b/>
                <w:bCs/>
                <w:lang w:val="fr-CA"/>
              </w:rPr>
              <w:t>’</w:t>
            </w:r>
            <w:r w:rsidRPr="007A74D1">
              <w:rPr>
                <w:b/>
                <w:bCs/>
                <w:lang w:val="fr-CA"/>
              </w:rPr>
              <w:t>alcool ou de drogue</w:t>
            </w:r>
          </w:p>
          <w:p w14:paraId="16A6D9CC" w14:textId="34CF56C5" w:rsidR="00B92B76" w:rsidRPr="007A74D1" w:rsidRDefault="004A6BD6" w:rsidP="002D323C">
            <w:pPr>
              <w:pStyle w:val="Tableaudroiteanglais"/>
              <w:rPr>
                <w:lang w:val="fr-CA"/>
              </w:rPr>
            </w:pPr>
            <w:r w:rsidRPr="007A74D1">
              <w:rPr>
                <w:lang w:val="fr-CA"/>
              </w:rPr>
              <w:t>254(2) L</w:t>
            </w:r>
            <w:r w:rsidR="005F64AB" w:rsidRPr="007A74D1">
              <w:rPr>
                <w:lang w:val="fr-CA"/>
              </w:rPr>
              <w:t>’</w:t>
            </w:r>
            <w:r w:rsidRPr="007A74D1">
              <w:rPr>
                <w:lang w:val="fr-CA"/>
              </w:rPr>
              <w:t>agent de la paix qui a des motifs raisonnables de soupçonner qu</w:t>
            </w:r>
            <w:r w:rsidR="005F64AB" w:rsidRPr="007A74D1">
              <w:rPr>
                <w:lang w:val="fr-CA"/>
              </w:rPr>
              <w:t>’</w:t>
            </w:r>
            <w:r w:rsidRPr="007A74D1">
              <w:rPr>
                <w:lang w:val="fr-CA"/>
              </w:rPr>
              <w:t>une personne a dans son organisme de l</w:t>
            </w:r>
            <w:r w:rsidR="005F64AB" w:rsidRPr="007A74D1">
              <w:rPr>
                <w:lang w:val="fr-CA"/>
              </w:rPr>
              <w:t>’</w:t>
            </w:r>
            <w:r w:rsidRPr="007A74D1">
              <w:rPr>
                <w:lang w:val="fr-CA"/>
              </w:rPr>
              <w:t>alcool ou de la drogue et que, dans les trois heures précé</w:t>
            </w:r>
            <w:r w:rsidRPr="007A74D1">
              <w:rPr>
                <w:lang w:val="fr-CA"/>
              </w:rPr>
              <w:softHyphen/>
              <w:t>dentes, elle a conduit un véhicule — véhicule à moteur, bateau, aéronef ou matériel ferroviaire — ou en a eu la garde ou le contrôle ou que, s</w:t>
            </w:r>
            <w:r w:rsidR="005F64AB" w:rsidRPr="007A74D1">
              <w:rPr>
                <w:lang w:val="fr-CA"/>
              </w:rPr>
              <w:t>’</w:t>
            </w:r>
            <w:r w:rsidRPr="007A74D1">
              <w:rPr>
                <w:lang w:val="fr-CA"/>
              </w:rPr>
              <w:t>agissant d</w:t>
            </w:r>
            <w:r w:rsidR="005F64AB" w:rsidRPr="007A74D1">
              <w:rPr>
                <w:lang w:val="fr-CA"/>
              </w:rPr>
              <w:t>’</w:t>
            </w:r>
            <w:r w:rsidRPr="007A74D1">
              <w:rPr>
                <w:lang w:val="fr-CA"/>
              </w:rPr>
              <w:t>un aéronef ou de matériel ferroviaire, elle a aidé à le conduire, le véhicule ayant été en mouvement ou non, peut lui ordonner de se soumettre aux mesures prévues à l</w:t>
            </w:r>
            <w:r w:rsidR="005F64AB" w:rsidRPr="007A74D1">
              <w:rPr>
                <w:lang w:val="fr-CA"/>
              </w:rPr>
              <w:t>’</w:t>
            </w:r>
            <w:r w:rsidRPr="007A74D1">
              <w:rPr>
                <w:lang w:val="fr-CA"/>
              </w:rPr>
              <w:t>alinéa a), dans le cas où il soupçonne la présence de drogue, ou aux mesures prévues à l</w:t>
            </w:r>
            <w:r w:rsidR="005F64AB" w:rsidRPr="007A74D1">
              <w:rPr>
                <w:lang w:val="fr-CA"/>
              </w:rPr>
              <w:t>’</w:t>
            </w:r>
            <w:r w:rsidRPr="007A74D1">
              <w:rPr>
                <w:lang w:val="fr-CA"/>
              </w:rPr>
              <w:t>un ou l</w:t>
            </w:r>
            <w:r w:rsidR="005F64AB" w:rsidRPr="007A74D1">
              <w:rPr>
                <w:lang w:val="fr-CA"/>
              </w:rPr>
              <w:t>’</w:t>
            </w:r>
            <w:r w:rsidRPr="007A74D1">
              <w:rPr>
                <w:lang w:val="fr-CA"/>
              </w:rPr>
              <w:t>autre des alinéas a) et b), ou aux deux, dans le cas où il soupçonne la présence d</w:t>
            </w:r>
            <w:r w:rsidR="005F64AB" w:rsidRPr="007A74D1">
              <w:rPr>
                <w:lang w:val="fr-CA"/>
              </w:rPr>
              <w:t>’</w:t>
            </w:r>
            <w:r w:rsidRPr="007A74D1">
              <w:rPr>
                <w:lang w:val="fr-CA"/>
              </w:rPr>
              <w:t>alcool, et, au besoin, de le suivre à cette fin :</w:t>
            </w:r>
          </w:p>
          <w:p w14:paraId="469CC35A" w14:textId="77777777" w:rsidR="00B92B76" w:rsidRPr="007A74D1" w:rsidRDefault="00B92B76" w:rsidP="002D323C">
            <w:pPr>
              <w:pStyle w:val="Tableaudroiteanglais"/>
              <w:spacing w:after="120"/>
              <w:rPr>
                <w:lang w:val="fr-CA"/>
              </w:rPr>
            </w:pPr>
          </w:p>
          <w:p w14:paraId="06FF3C60" w14:textId="77777777" w:rsidR="00B92B76" w:rsidRPr="007A74D1" w:rsidRDefault="004A6BD6" w:rsidP="002D323C">
            <w:pPr>
              <w:pStyle w:val="Tableaudroiteanglais"/>
              <w:spacing w:after="120"/>
              <w:rPr>
                <w:lang w:val="fr-CA"/>
              </w:rPr>
            </w:pPr>
            <w:r w:rsidRPr="007A74D1">
              <w:rPr>
                <w:lang w:val="fr-CA"/>
              </w:rPr>
              <w:t>[…]</w:t>
            </w:r>
          </w:p>
          <w:p w14:paraId="08BBD8D7" w14:textId="33166D37" w:rsidR="00B92B76" w:rsidRPr="007A74D1" w:rsidRDefault="004A6BD6" w:rsidP="002D323C">
            <w:pPr>
              <w:pStyle w:val="Tableaudroiteanglais"/>
              <w:rPr>
                <w:lang w:val="fr-CA"/>
              </w:rPr>
            </w:pPr>
            <w:r w:rsidRPr="007A74D1">
              <w:rPr>
                <w:b/>
                <w:bCs/>
                <w:lang w:val="fr-CA"/>
              </w:rPr>
              <w:t>b)</w:t>
            </w:r>
            <w:r w:rsidRPr="007A74D1">
              <w:rPr>
                <w:lang w:val="fr-CA"/>
              </w:rPr>
              <w:t xml:space="preserve"> fournir immédiatement l</w:t>
            </w:r>
            <w:r w:rsidR="005F64AB" w:rsidRPr="007A74D1">
              <w:rPr>
                <w:lang w:val="fr-CA"/>
              </w:rPr>
              <w:t>’</w:t>
            </w:r>
            <w:r w:rsidRPr="007A74D1">
              <w:rPr>
                <w:lang w:val="fr-CA"/>
              </w:rPr>
              <w:t>échantillon d</w:t>
            </w:r>
            <w:r w:rsidR="005F64AB" w:rsidRPr="007A74D1">
              <w:rPr>
                <w:lang w:val="fr-CA"/>
              </w:rPr>
              <w:t>’</w:t>
            </w:r>
            <w:r w:rsidRPr="007A74D1">
              <w:rPr>
                <w:lang w:val="fr-CA"/>
              </w:rPr>
              <w:t>haleine que celui-ci estime nécessaire à la réalisation d</w:t>
            </w:r>
            <w:r w:rsidR="005F64AB" w:rsidRPr="007A74D1">
              <w:rPr>
                <w:lang w:val="fr-CA"/>
              </w:rPr>
              <w:t>’</w:t>
            </w:r>
            <w:r w:rsidRPr="007A74D1">
              <w:rPr>
                <w:lang w:val="fr-CA"/>
              </w:rPr>
              <w:t>une analyse convenable à l</w:t>
            </w:r>
            <w:r w:rsidR="005F64AB" w:rsidRPr="007A74D1">
              <w:rPr>
                <w:lang w:val="fr-CA"/>
              </w:rPr>
              <w:t>’</w:t>
            </w:r>
            <w:r w:rsidRPr="007A74D1">
              <w:rPr>
                <w:lang w:val="fr-CA"/>
              </w:rPr>
              <w:t>aide d</w:t>
            </w:r>
            <w:r w:rsidR="005F64AB" w:rsidRPr="007A74D1">
              <w:rPr>
                <w:lang w:val="fr-CA"/>
              </w:rPr>
              <w:t>’</w:t>
            </w:r>
            <w:r w:rsidRPr="007A74D1">
              <w:rPr>
                <w:lang w:val="fr-CA"/>
              </w:rPr>
              <w:t>un appareil de détection approuvé.</w:t>
            </w:r>
          </w:p>
          <w:p w14:paraId="297A58CB" w14:textId="77777777" w:rsidR="00B92B76" w:rsidRPr="007A74D1" w:rsidRDefault="00B92B76" w:rsidP="002D323C">
            <w:pPr>
              <w:pStyle w:val="Tableaudroiteanglais"/>
              <w:rPr>
                <w:lang w:val="fr-CA"/>
              </w:rPr>
            </w:pPr>
          </w:p>
        </w:tc>
      </w:tr>
      <w:tr w:rsidR="00581844" w14:paraId="62AA78BE" w14:textId="77777777" w:rsidTr="00F03CC9">
        <w:tc>
          <w:tcPr>
            <w:tcW w:w="4681" w:type="dxa"/>
            <w:shd w:val="clear" w:color="auto" w:fill="auto"/>
          </w:tcPr>
          <w:p w14:paraId="57B29467" w14:textId="77777777" w:rsidR="004F47B3" w:rsidRPr="007A74D1" w:rsidRDefault="004F47B3" w:rsidP="002D323C">
            <w:pPr>
              <w:pStyle w:val="Tableaugauchefranais"/>
              <w:jc w:val="both"/>
              <w:rPr>
                <w:b/>
                <w:bCs/>
              </w:rPr>
            </w:pPr>
          </w:p>
          <w:p w14:paraId="70012D9B" w14:textId="77777777" w:rsidR="00B92B76" w:rsidRPr="00EF7404" w:rsidRDefault="004A6BD6" w:rsidP="002D323C">
            <w:pPr>
              <w:pStyle w:val="Tableaugauchefranais"/>
              <w:jc w:val="both"/>
              <w:rPr>
                <w:b/>
                <w:lang w:val="en-CA"/>
              </w:rPr>
            </w:pPr>
            <w:r w:rsidRPr="00EF7404">
              <w:rPr>
                <w:b/>
                <w:bCs/>
                <w:lang w:val="en-CA"/>
              </w:rPr>
              <w:t>Failure or refusal to comply with demand</w:t>
            </w:r>
          </w:p>
          <w:p w14:paraId="783F784F" w14:textId="77777777" w:rsidR="00B92B76" w:rsidRPr="00EF7404" w:rsidRDefault="00B92B76" w:rsidP="002D323C">
            <w:pPr>
              <w:pStyle w:val="Tableaugauchefranais"/>
              <w:spacing w:after="60"/>
              <w:jc w:val="both"/>
              <w:rPr>
                <w:b/>
                <w:lang w:val="en-CA"/>
              </w:rPr>
            </w:pPr>
          </w:p>
          <w:p w14:paraId="35F76935" w14:textId="77777777" w:rsidR="00B92B76" w:rsidRPr="00EF7404" w:rsidRDefault="004A6BD6" w:rsidP="002D323C">
            <w:pPr>
              <w:pStyle w:val="Tableaugauchefranais"/>
              <w:spacing w:after="120"/>
              <w:jc w:val="both"/>
              <w:rPr>
                <w:b/>
                <w:lang w:val="en-CA"/>
              </w:rPr>
            </w:pPr>
            <w:r w:rsidRPr="00EF7404">
              <w:rPr>
                <w:lang w:val="en-CA"/>
              </w:rPr>
              <w:t>(5) Everyone commits an offence who, without reasonable excuse, fails or refuses to comply with a demand made under this section.</w:t>
            </w:r>
          </w:p>
        </w:tc>
        <w:tc>
          <w:tcPr>
            <w:tcW w:w="4681" w:type="dxa"/>
            <w:shd w:val="clear" w:color="auto" w:fill="auto"/>
          </w:tcPr>
          <w:p w14:paraId="6F8BEF7E" w14:textId="0F09D459" w:rsidR="00B92B76" w:rsidRPr="007A74D1" w:rsidRDefault="004A6BD6" w:rsidP="002D323C">
            <w:pPr>
              <w:pStyle w:val="Tableaudroiteanglais"/>
              <w:spacing w:before="240" w:after="120"/>
              <w:ind w:left="142"/>
              <w:rPr>
                <w:b/>
                <w:lang w:val="fr-CA"/>
              </w:rPr>
            </w:pPr>
            <w:r w:rsidRPr="007A74D1">
              <w:rPr>
                <w:b/>
                <w:bCs/>
                <w:lang w:val="fr-CA"/>
              </w:rPr>
              <w:t>Omission ou refus d</w:t>
            </w:r>
            <w:r w:rsidR="005F64AB" w:rsidRPr="007A74D1">
              <w:rPr>
                <w:b/>
                <w:bCs/>
                <w:lang w:val="fr-CA"/>
              </w:rPr>
              <w:t>’</w:t>
            </w:r>
            <w:r w:rsidRPr="007A74D1">
              <w:rPr>
                <w:b/>
                <w:bCs/>
                <w:lang w:val="fr-CA"/>
              </w:rPr>
              <w:t>obtempérer</w:t>
            </w:r>
          </w:p>
          <w:p w14:paraId="3CE9D132" w14:textId="77777777" w:rsidR="00EC5F50" w:rsidRPr="007A74D1" w:rsidRDefault="00EC5F50" w:rsidP="002D323C">
            <w:pPr>
              <w:pStyle w:val="Tableaudroiteanglais"/>
              <w:rPr>
                <w:lang w:val="fr-CA"/>
              </w:rPr>
            </w:pPr>
          </w:p>
          <w:p w14:paraId="666F9B6C" w14:textId="0CA89615" w:rsidR="00B92B76" w:rsidRPr="007A74D1" w:rsidRDefault="004A6BD6" w:rsidP="002D323C">
            <w:pPr>
              <w:pStyle w:val="Tableaudroiteanglais"/>
              <w:spacing w:before="240"/>
              <w:ind w:left="142"/>
              <w:rPr>
                <w:b/>
                <w:lang w:val="fr-CA"/>
              </w:rPr>
            </w:pPr>
            <w:r w:rsidRPr="007A74D1">
              <w:rPr>
                <w:lang w:val="fr-CA"/>
              </w:rPr>
              <w:t>(5) Commet une infraction quiconque, sans excuse raisonnable, omet ou refuse d</w:t>
            </w:r>
            <w:r w:rsidR="005F64AB" w:rsidRPr="007A74D1">
              <w:rPr>
                <w:lang w:val="fr-CA"/>
              </w:rPr>
              <w:t>’</w:t>
            </w:r>
            <w:r w:rsidRPr="007A74D1">
              <w:rPr>
                <w:lang w:val="fr-CA"/>
              </w:rPr>
              <w:t>obtempérer à un ordre donné en vertu du présent article.</w:t>
            </w:r>
          </w:p>
        </w:tc>
      </w:tr>
    </w:tbl>
    <w:p w14:paraId="40E6EA30" w14:textId="6352CD74" w:rsidR="00B92B76" w:rsidRPr="007A74D1" w:rsidRDefault="004A6BD6" w:rsidP="002D323C">
      <w:pPr>
        <w:pStyle w:val="Citationenretrait"/>
        <w:tabs>
          <w:tab w:val="right" w:pos="8640"/>
        </w:tabs>
        <w:ind w:left="0"/>
        <w:rPr>
          <w:sz w:val="24"/>
          <w:szCs w:val="24"/>
        </w:rPr>
      </w:pPr>
      <w:r w:rsidRPr="007A74D1">
        <w:rPr>
          <w:sz w:val="24"/>
          <w:szCs w:val="24"/>
        </w:rPr>
        <w:tab/>
      </w:r>
    </w:p>
    <w:p w14:paraId="75B3131E" w14:textId="77777777" w:rsidR="00B92B76" w:rsidRPr="00EF7404" w:rsidRDefault="004A6BD6" w:rsidP="002D323C">
      <w:pPr>
        <w:pStyle w:val="Paragraphe"/>
        <w:spacing w:line="280" w:lineRule="exact"/>
        <w:rPr>
          <w:lang w:val="en-CA"/>
        </w:rPr>
      </w:pPr>
      <w:r w:rsidRPr="00EF7404">
        <w:rPr>
          <w:lang w:val="en-CA"/>
        </w:rPr>
        <w:t xml:space="preserve">The appellant questioned the validity of the demand, given the absence of an ASD, and challenged the immediacy of the demand in light of the waiting period before the arrival of the device. </w:t>
      </w:r>
    </w:p>
    <w:p w14:paraId="71F16460" w14:textId="519A5741" w:rsidR="00B92B76" w:rsidRPr="00EF7404" w:rsidRDefault="004A6BD6" w:rsidP="002D323C">
      <w:pPr>
        <w:pStyle w:val="Paragraphe"/>
        <w:spacing w:line="280" w:lineRule="exact"/>
        <w:rPr>
          <w:lang w:val="en-CA"/>
        </w:rPr>
      </w:pPr>
      <w:r w:rsidRPr="00EF7404">
        <w:rPr>
          <w:lang w:val="en-CA"/>
        </w:rPr>
        <w:t xml:space="preserve">The Municipal Court judge, citing </w:t>
      </w:r>
      <w:r w:rsidRPr="00EF7404">
        <w:rPr>
          <w:i/>
          <w:iCs/>
          <w:lang w:val="en-CA"/>
        </w:rPr>
        <w:t>Petit c. R.,</w:t>
      </w:r>
      <w:r w:rsidRPr="00EF7404">
        <w:rPr>
          <w:lang w:val="en-CA"/>
        </w:rPr>
        <w:t xml:space="preserve"> 2005 QCCA 687, and </w:t>
      </w:r>
      <w:r w:rsidRPr="00EF7404">
        <w:rPr>
          <w:i/>
          <w:iCs/>
          <w:lang w:val="en-CA"/>
        </w:rPr>
        <w:t>R. c. Piazza</w:t>
      </w:r>
      <w:r w:rsidRPr="00EF7404">
        <w:rPr>
          <w:lang w:val="en-CA"/>
        </w:rPr>
        <w:t xml:space="preserve">, 2018 QCCA 948, found that a waiting period of up to 15 minutes can be considered valid, depending on the circumstances. In the case at bar, he concluded that the 4-minute delay between the time the suspicions arose (1:41 p.m.) and the first demand (1:45 p.m.) satisfied the immediacy requirement for the demand. As for its validity in the absence of an ASD, the judge relied on </w:t>
      </w:r>
      <w:r w:rsidRPr="00EF7404">
        <w:rPr>
          <w:i/>
          <w:iCs/>
          <w:lang w:val="en-CA"/>
        </w:rPr>
        <w:t>R. v. Degiorgio,</w:t>
      </w:r>
      <w:r w:rsidRPr="00EF7404">
        <w:rPr>
          <w:lang w:val="en-CA"/>
        </w:rPr>
        <w:t xml:space="preserve"> 2011 ONCA 527, to state that [</w:t>
      </w:r>
      <w:r w:rsidR="00EF7404" w:rsidRPr="00EF7404">
        <w:rPr>
          <w:smallCaps/>
          <w:lang w:val="en-CA"/>
        </w:rPr>
        <w:t>translation</w:t>
      </w:r>
      <w:r w:rsidRPr="00EF7404">
        <w:rPr>
          <w:lang w:val="en-CA"/>
        </w:rPr>
        <w:t xml:space="preserve">] </w:t>
      </w:r>
      <w:r w:rsidR="005F64AB">
        <w:rPr>
          <w:lang w:val="en-CA"/>
        </w:rPr>
        <w:t>“</w:t>
      </w:r>
      <w:r w:rsidRPr="00EF7404">
        <w:rPr>
          <w:lang w:val="en-CA"/>
        </w:rPr>
        <w:t>[t]he validity of the demand does not depend in any way on the presence of an ASD at the scene at the time the peace officer makes the demand</w:t>
      </w:r>
      <w:r w:rsidR="005F64AB">
        <w:rPr>
          <w:lang w:val="en-CA"/>
        </w:rPr>
        <w:t>”</w:t>
      </w:r>
      <w:r w:rsidRPr="00EF7404">
        <w:rPr>
          <w:lang w:val="en-CA"/>
        </w:rPr>
        <w:t>. He added that [</w:t>
      </w:r>
      <w:r w:rsidR="00EF7404" w:rsidRPr="00EF7404">
        <w:rPr>
          <w:smallCaps/>
          <w:lang w:val="en-CA"/>
        </w:rPr>
        <w:t>translation</w:t>
      </w:r>
      <w:r w:rsidRPr="00EF7404">
        <w:rPr>
          <w:lang w:val="en-CA"/>
        </w:rPr>
        <w:t xml:space="preserve">] </w:t>
      </w:r>
      <w:r w:rsidR="005F64AB">
        <w:rPr>
          <w:lang w:val="en-CA"/>
        </w:rPr>
        <w:t>“</w:t>
      </w:r>
      <w:r w:rsidRPr="00EF7404">
        <w:rPr>
          <w:lang w:val="en-CA"/>
        </w:rPr>
        <w:t>the absence of an ASD at the scene is a pretext, used at trial, to try to justify his immediate refusal. At the scene, the defendant never expressed his desire to submit to the peace officer</w:t>
      </w:r>
      <w:r w:rsidR="005F64AB">
        <w:rPr>
          <w:lang w:val="en-CA"/>
        </w:rPr>
        <w:t>’</w:t>
      </w:r>
      <w:r w:rsidRPr="00EF7404">
        <w:rPr>
          <w:lang w:val="en-CA"/>
        </w:rPr>
        <w:t xml:space="preserve">s demand as soon as the ASD </w:t>
      </w:r>
      <w:r w:rsidR="00A75EC0">
        <w:rPr>
          <w:lang w:val="en-CA"/>
        </w:rPr>
        <w:t xml:space="preserve">would be </w:t>
      </w:r>
      <w:r w:rsidRPr="00EF7404">
        <w:rPr>
          <w:lang w:val="en-CA"/>
        </w:rPr>
        <w:t>available</w:t>
      </w:r>
      <w:r w:rsidR="005F64AB">
        <w:rPr>
          <w:lang w:val="en-CA"/>
        </w:rPr>
        <w:t>”</w:t>
      </w:r>
      <w:r w:rsidRPr="00EF7404">
        <w:rPr>
          <w:lang w:val="en-CA"/>
        </w:rPr>
        <w:t xml:space="preserve">. </w:t>
      </w:r>
    </w:p>
    <w:p w14:paraId="54A4A817" w14:textId="6CFEDF30" w:rsidR="00B92B76" w:rsidRPr="00EF7404" w:rsidRDefault="004A6BD6" w:rsidP="002D323C">
      <w:pPr>
        <w:pStyle w:val="Paragraphe"/>
        <w:spacing w:line="280" w:lineRule="exact"/>
        <w:rPr>
          <w:lang w:val="en-CA"/>
        </w:rPr>
      </w:pPr>
      <w:r w:rsidRPr="00EF7404">
        <w:rPr>
          <w:lang w:val="en-CA"/>
        </w:rPr>
        <w:t xml:space="preserve">Before dismissing the appeal, the Superior Court </w:t>
      </w:r>
      <w:r w:rsidR="00631E56" w:rsidRPr="00EF7404">
        <w:rPr>
          <w:lang w:val="en-CA"/>
        </w:rPr>
        <w:t>ju</w:t>
      </w:r>
      <w:r w:rsidR="00631E56">
        <w:rPr>
          <w:lang w:val="en-CA"/>
        </w:rPr>
        <w:t>stice</w:t>
      </w:r>
      <w:r w:rsidR="00631E56" w:rsidRPr="00EF7404">
        <w:rPr>
          <w:lang w:val="en-CA"/>
        </w:rPr>
        <w:t xml:space="preserve"> </w:t>
      </w:r>
      <w:r w:rsidRPr="00EF7404">
        <w:rPr>
          <w:lang w:val="en-CA"/>
        </w:rPr>
        <w:t>noted that the Municipal Court judge had rendered a judgment based on the applicable law and that [</w:t>
      </w:r>
      <w:r w:rsidR="00EF7404" w:rsidRPr="00EF7404">
        <w:rPr>
          <w:smallCaps/>
          <w:lang w:val="en-CA"/>
        </w:rPr>
        <w:t>translation</w:t>
      </w:r>
      <w:r w:rsidRPr="00EF7404">
        <w:rPr>
          <w:lang w:val="en-CA"/>
        </w:rPr>
        <w:t xml:space="preserve">] </w:t>
      </w:r>
      <w:r w:rsidR="005F64AB">
        <w:rPr>
          <w:lang w:val="en-CA"/>
        </w:rPr>
        <w:t>“</w:t>
      </w:r>
      <w:r w:rsidRPr="00EF7404">
        <w:rPr>
          <w:lang w:val="en-CA"/>
        </w:rPr>
        <w:t>this appeal is merely a necessary step on the way to the Court of Appeal</w:t>
      </w:r>
      <w:r w:rsidR="005F64AB">
        <w:rPr>
          <w:lang w:val="en-CA"/>
        </w:rPr>
        <w:t>”</w:t>
      </w:r>
      <w:r w:rsidRPr="00EF7404">
        <w:rPr>
          <w:lang w:val="en-CA"/>
        </w:rPr>
        <w:t xml:space="preserve"> as part of a process to challenge </w:t>
      </w:r>
      <w:r w:rsidRPr="00EF7404">
        <w:rPr>
          <w:i/>
          <w:iCs/>
          <w:lang w:val="en-CA"/>
        </w:rPr>
        <w:t>Petit</w:t>
      </w:r>
      <w:r w:rsidRPr="00EF7404">
        <w:rPr>
          <w:lang w:val="en-CA"/>
        </w:rPr>
        <w:t xml:space="preserve"> and, by extension, </w:t>
      </w:r>
      <w:r w:rsidRPr="00EF7404">
        <w:rPr>
          <w:i/>
          <w:iCs/>
          <w:lang w:val="en-CA"/>
        </w:rPr>
        <w:t>Piazza</w:t>
      </w:r>
      <w:r w:rsidRPr="00EF7404">
        <w:rPr>
          <w:lang w:val="en-CA"/>
        </w:rPr>
        <w:t>,</w:t>
      </w:r>
      <w:r w:rsidRPr="00EF7404">
        <w:rPr>
          <w:i/>
          <w:iCs/>
          <w:lang w:val="en-CA"/>
        </w:rPr>
        <w:t xml:space="preserve"> </w:t>
      </w:r>
      <w:r w:rsidRPr="00EF7404">
        <w:rPr>
          <w:lang w:val="en-CA"/>
        </w:rPr>
        <w:t xml:space="preserve">which applied </w:t>
      </w:r>
      <w:r w:rsidRPr="00EF7404">
        <w:rPr>
          <w:i/>
          <w:iCs/>
          <w:lang w:val="en-CA"/>
        </w:rPr>
        <w:t>Petit</w:t>
      </w:r>
      <w:r w:rsidRPr="00EF7404">
        <w:rPr>
          <w:lang w:val="en-CA"/>
        </w:rPr>
        <w:t xml:space="preserve"> in circumstances I will explain further below. </w:t>
      </w:r>
    </w:p>
    <w:p w14:paraId="4BD165E1" w14:textId="77777777" w:rsidR="00B92B76" w:rsidRPr="00EF7404" w:rsidRDefault="004A6BD6" w:rsidP="002D323C">
      <w:pPr>
        <w:pStyle w:val="Titre1"/>
        <w:spacing w:line="280" w:lineRule="exact"/>
        <w:rPr>
          <w:lang w:val="en-CA"/>
        </w:rPr>
      </w:pPr>
      <w:r w:rsidRPr="00EF7404">
        <w:rPr>
          <w:bCs/>
          <w:lang w:val="en-CA"/>
        </w:rPr>
        <w:t>The arguments</w:t>
      </w:r>
    </w:p>
    <w:p w14:paraId="3B3E3551" w14:textId="77777777" w:rsidR="00B92B76" w:rsidRPr="00EF7404" w:rsidRDefault="004A6BD6" w:rsidP="002D323C">
      <w:pPr>
        <w:pStyle w:val="Paragraphe"/>
        <w:spacing w:line="280" w:lineRule="exact"/>
        <w:rPr>
          <w:lang w:val="en-CA"/>
        </w:rPr>
      </w:pPr>
      <w:r w:rsidRPr="00EF7404">
        <w:rPr>
          <w:lang w:val="en-CA"/>
        </w:rPr>
        <w:t>Here is how the appellant formulated the question the Court has to adjudicate:</w:t>
      </w:r>
    </w:p>
    <w:p w14:paraId="5C903054" w14:textId="77777777" w:rsidR="00EF7404" w:rsidRDefault="004A6BD6" w:rsidP="002D323C">
      <w:pPr>
        <w:pStyle w:val="Citationenretrait"/>
        <w:rPr>
          <w:lang w:val="en-CA"/>
        </w:rPr>
      </w:pPr>
      <w:r w:rsidRPr="00EF7404">
        <w:rPr>
          <w:lang w:val="en-CA"/>
        </w:rPr>
        <w:t>[</w:t>
      </w:r>
      <w:r w:rsidRPr="00EF7404">
        <w:rPr>
          <w:smallCaps/>
          <w:lang w:val="en-CA"/>
        </w:rPr>
        <w:t>translation</w:t>
      </w:r>
      <w:r w:rsidRPr="00EF7404">
        <w:rPr>
          <w:lang w:val="en-CA"/>
        </w:rPr>
        <w:t>]</w:t>
      </w:r>
    </w:p>
    <w:p w14:paraId="229AE06F" w14:textId="77777777" w:rsidR="00B92B76" w:rsidRPr="00EF7404" w:rsidRDefault="004A6BD6" w:rsidP="002D323C">
      <w:pPr>
        <w:pStyle w:val="Citationenretrait"/>
        <w:rPr>
          <w:lang w:val="en-CA"/>
        </w:rPr>
      </w:pPr>
      <w:r w:rsidRPr="00EF7404">
        <w:rPr>
          <w:lang w:val="en-CA"/>
        </w:rPr>
        <w:t>Does a demand made by a police officer to provide breath samples forthwith comply with the law if the police officer is not in possession of an approved screening device? Does the fact that such a device can be brought to him within a period of 10 to 15 minutes render the demand compliant?</w:t>
      </w:r>
    </w:p>
    <w:p w14:paraId="2AA0B49A" w14:textId="4B474591" w:rsidR="00B92B76" w:rsidRPr="00EF7404" w:rsidRDefault="004A6BD6" w:rsidP="002D323C">
      <w:pPr>
        <w:pStyle w:val="Paragraphe"/>
        <w:spacing w:line="280" w:lineRule="exact"/>
        <w:rPr>
          <w:lang w:val="en-CA"/>
        </w:rPr>
      </w:pPr>
      <w:r w:rsidRPr="00EF7404">
        <w:rPr>
          <w:lang w:val="en-CA"/>
        </w:rPr>
        <w:t>The appellant is of the opinion that an ASD should be available at all times, just like [</w:t>
      </w:r>
      <w:r w:rsidR="00EF7404" w:rsidRPr="00EF7404">
        <w:rPr>
          <w:smallCaps/>
          <w:lang w:val="en-CA"/>
        </w:rPr>
        <w:t>translation</w:t>
      </w:r>
      <w:r w:rsidRPr="00EF7404">
        <w:rPr>
          <w:lang w:val="en-CA"/>
        </w:rPr>
        <w:t xml:space="preserve">] </w:t>
      </w:r>
      <w:r w:rsidR="005F64AB">
        <w:rPr>
          <w:lang w:val="en-CA"/>
        </w:rPr>
        <w:t>“</w:t>
      </w:r>
      <w:r w:rsidRPr="00EF7404">
        <w:rPr>
          <w:lang w:val="en-CA"/>
        </w:rPr>
        <w:t>handcuffs, expandable batons, pepper spray and service weapons</w:t>
      </w:r>
      <w:r w:rsidR="005F64AB">
        <w:rPr>
          <w:lang w:val="en-CA"/>
        </w:rPr>
        <w:t>”</w:t>
      </w:r>
      <w:r w:rsidRPr="00EF7404">
        <w:rPr>
          <w:lang w:val="en-CA"/>
        </w:rPr>
        <w:t>, because it is necessary for the performance of police officers</w:t>
      </w:r>
      <w:r w:rsidR="005F64AB">
        <w:rPr>
          <w:lang w:val="en-CA"/>
        </w:rPr>
        <w:t>’</w:t>
      </w:r>
      <w:r w:rsidRPr="00EF7404">
        <w:rPr>
          <w:lang w:val="en-CA"/>
        </w:rPr>
        <w:t xml:space="preserve"> day-to-day tasks. He adds that he shares the opinion of Vauclair, J.A. who wrote, at para. 37 of </w:t>
      </w:r>
      <w:r w:rsidRPr="00EF7404">
        <w:rPr>
          <w:i/>
          <w:iCs/>
          <w:lang w:val="en-CA"/>
        </w:rPr>
        <w:t>Piazza</w:t>
      </w:r>
      <w:r w:rsidRPr="00EF7404">
        <w:rPr>
          <w:lang w:val="en-CA"/>
        </w:rPr>
        <w:t>, that detention prior to the use of an ASD [</w:t>
      </w:r>
      <w:r w:rsidR="00EF7404" w:rsidRPr="00EF7404">
        <w:rPr>
          <w:smallCaps/>
          <w:lang w:val="en-CA"/>
        </w:rPr>
        <w:t>translation</w:t>
      </w:r>
      <w:r w:rsidRPr="00EF7404">
        <w:rPr>
          <w:lang w:val="en-CA"/>
        </w:rPr>
        <w:t xml:space="preserve">] </w:t>
      </w:r>
      <w:r w:rsidR="005F64AB">
        <w:rPr>
          <w:lang w:val="en-CA"/>
        </w:rPr>
        <w:t>“</w:t>
      </w:r>
      <w:r w:rsidRPr="00EF7404">
        <w:rPr>
          <w:lang w:val="en-CA"/>
        </w:rPr>
        <w:t>is necessarily short</w:t>
      </w:r>
      <w:r w:rsidR="005F64AB">
        <w:rPr>
          <w:lang w:val="en-CA"/>
        </w:rPr>
        <w:t>”</w:t>
      </w:r>
      <w:r w:rsidRPr="00EF7404">
        <w:rPr>
          <w:lang w:val="en-CA"/>
        </w:rPr>
        <w:t xml:space="preserve"> given that it suspends the exercise of the right to counsel. The appellant also agrees with my colleague when the latter brings into question the principle accepted in </w:t>
      </w:r>
      <w:r w:rsidRPr="00EF7404">
        <w:rPr>
          <w:i/>
          <w:iCs/>
          <w:lang w:val="en-CA"/>
        </w:rPr>
        <w:t>Petit</w:t>
      </w:r>
      <w:r w:rsidRPr="00EF7404">
        <w:rPr>
          <w:lang w:val="en-CA"/>
        </w:rPr>
        <w:t xml:space="preserve"> to the effect that [</w:t>
      </w:r>
      <w:r w:rsidR="00EF7404" w:rsidRPr="00EF7404">
        <w:rPr>
          <w:smallCaps/>
          <w:lang w:val="en-CA"/>
        </w:rPr>
        <w:t>translation</w:t>
      </w:r>
      <w:r w:rsidRPr="00EF7404">
        <w:rPr>
          <w:lang w:val="en-CA"/>
        </w:rPr>
        <w:t xml:space="preserve">] </w:t>
      </w:r>
      <w:r w:rsidR="005F64AB">
        <w:rPr>
          <w:lang w:val="en-CA"/>
        </w:rPr>
        <w:t>“</w:t>
      </w:r>
      <w:r w:rsidRPr="00EF7404">
        <w:rPr>
          <w:lang w:val="en-CA"/>
        </w:rPr>
        <w:t>a short and inevitable 15-minute delay may be justifiable</w:t>
      </w:r>
      <w:r w:rsidR="005F64AB">
        <w:rPr>
          <w:lang w:val="en-CA"/>
        </w:rPr>
        <w:t>”</w:t>
      </w:r>
      <w:r w:rsidRPr="00EF7404">
        <w:rPr>
          <w:lang w:val="en-CA"/>
        </w:rPr>
        <w:t xml:space="preserve">: para. 19. I would point out that, in </w:t>
      </w:r>
      <w:r w:rsidRPr="00EF7404">
        <w:rPr>
          <w:i/>
          <w:iCs/>
          <w:lang w:val="en-CA"/>
        </w:rPr>
        <w:t>Piazza</w:t>
      </w:r>
      <w:r w:rsidRPr="00EF7404">
        <w:rPr>
          <w:lang w:val="en-CA"/>
        </w:rPr>
        <w:t xml:space="preserve">, the Court and my colleague applied </w:t>
      </w:r>
      <w:r w:rsidRPr="00EF7404">
        <w:rPr>
          <w:i/>
          <w:iCs/>
          <w:lang w:val="en-CA"/>
        </w:rPr>
        <w:t>Petit</w:t>
      </w:r>
      <w:r w:rsidRPr="00EF7404">
        <w:rPr>
          <w:lang w:val="en-CA"/>
        </w:rPr>
        <w:t xml:space="preserve"> solely because of the rule of </w:t>
      </w:r>
      <w:r w:rsidRPr="00EF7404">
        <w:rPr>
          <w:i/>
          <w:iCs/>
          <w:lang w:val="en-CA"/>
        </w:rPr>
        <w:t>stare decisis</w:t>
      </w:r>
      <w:r w:rsidRPr="00EF7404">
        <w:rPr>
          <w:lang w:val="en-CA"/>
        </w:rPr>
        <w:t>, leaving the possibility of overturning it to a panel of five judges. That is, in fact, why this appeal was heard by a panel of five judges, following the appellant</w:t>
      </w:r>
      <w:r w:rsidR="005F64AB">
        <w:rPr>
          <w:lang w:val="en-CA"/>
        </w:rPr>
        <w:t>’</w:t>
      </w:r>
      <w:r w:rsidRPr="00EF7404">
        <w:rPr>
          <w:lang w:val="en-CA"/>
        </w:rPr>
        <w:t>s application to that effect which was granted by the Chief Justice.</w:t>
      </w:r>
    </w:p>
    <w:p w14:paraId="723D4D36" w14:textId="3C6F31AC" w:rsidR="00B92B76" w:rsidRPr="00EF7404" w:rsidRDefault="004A6BD6" w:rsidP="002D323C">
      <w:pPr>
        <w:pStyle w:val="Paragraphe"/>
        <w:spacing w:line="280" w:lineRule="exact"/>
        <w:rPr>
          <w:lang w:val="en-CA"/>
        </w:rPr>
      </w:pPr>
      <w:r w:rsidRPr="00EF7404">
        <w:rPr>
          <w:lang w:val="en-CA"/>
        </w:rPr>
        <w:t>In that regard, the appellant favours a [</w:t>
      </w:r>
      <w:r w:rsidR="00EF7404" w:rsidRPr="00EF7404">
        <w:rPr>
          <w:smallCaps/>
          <w:lang w:val="en-CA"/>
        </w:rPr>
        <w:t>translation</w:t>
      </w:r>
      <w:r w:rsidRPr="00EF7404">
        <w:rPr>
          <w:lang w:val="en-CA"/>
        </w:rPr>
        <w:t xml:space="preserve">] </w:t>
      </w:r>
      <w:r w:rsidR="005F64AB">
        <w:rPr>
          <w:lang w:val="en-CA"/>
        </w:rPr>
        <w:t>“</w:t>
      </w:r>
      <w:r w:rsidRPr="00EF7404">
        <w:rPr>
          <w:lang w:val="en-CA"/>
        </w:rPr>
        <w:t>uniform test</w:t>
      </w:r>
      <w:r w:rsidR="005F64AB">
        <w:rPr>
          <w:lang w:val="en-CA"/>
        </w:rPr>
        <w:t>”</w:t>
      </w:r>
      <w:r w:rsidRPr="00EF7404">
        <w:rPr>
          <w:lang w:val="en-CA"/>
        </w:rPr>
        <w:t xml:space="preserve"> to interpret the term </w:t>
      </w:r>
      <w:r w:rsidR="005F64AB">
        <w:rPr>
          <w:lang w:val="en-CA"/>
        </w:rPr>
        <w:t>“</w:t>
      </w:r>
      <w:r w:rsidRPr="00EF7404">
        <w:rPr>
          <w:lang w:val="en-CA"/>
        </w:rPr>
        <w:t>forthwith</w:t>
      </w:r>
      <w:r w:rsidR="005F64AB">
        <w:rPr>
          <w:lang w:val="en-CA"/>
        </w:rPr>
        <w:t>”</w:t>
      </w:r>
      <w:r w:rsidRPr="00EF7404">
        <w:rPr>
          <w:lang w:val="en-CA"/>
        </w:rPr>
        <w:t>, which should mean [</w:t>
      </w:r>
      <w:r w:rsidR="00EF7404" w:rsidRPr="00EF7404">
        <w:rPr>
          <w:smallCaps/>
          <w:lang w:val="en-CA"/>
        </w:rPr>
        <w:t>translation</w:t>
      </w:r>
      <w:r w:rsidR="002D6BDF">
        <w:rPr>
          <w:lang w:val="en-CA"/>
        </w:rPr>
        <w:t xml:space="preserve">] </w:t>
      </w:r>
      <w:r w:rsidR="005F64AB">
        <w:rPr>
          <w:lang w:val="en-CA"/>
        </w:rPr>
        <w:t>“</w:t>
      </w:r>
      <w:r w:rsidR="007549A4">
        <w:rPr>
          <w:lang w:val="en-CA"/>
        </w:rPr>
        <w:t>right away</w:t>
      </w:r>
      <w:r w:rsidR="005F64AB">
        <w:rPr>
          <w:lang w:val="en-CA"/>
        </w:rPr>
        <w:t>”</w:t>
      </w:r>
      <w:r w:rsidRPr="00EF7404">
        <w:rPr>
          <w:lang w:val="en-CA"/>
        </w:rPr>
        <w:t xml:space="preserve">, while </w:t>
      </w:r>
      <w:r w:rsidRPr="00EF7404">
        <w:rPr>
          <w:i/>
          <w:iCs/>
          <w:lang w:val="en-CA"/>
        </w:rPr>
        <w:t>Petit</w:t>
      </w:r>
      <w:r w:rsidRPr="00EF7404">
        <w:rPr>
          <w:lang w:val="en-CA"/>
        </w:rPr>
        <w:t xml:space="preserve"> mistakenly accepts a delay based on a rationale that is itself founded on mere administrative convenience by allowing a theoretical 10-minute delay, which underestimates the importance of the suspension of the right to counsel during that time. </w:t>
      </w:r>
    </w:p>
    <w:p w14:paraId="34C80595" w14:textId="160ABEFA" w:rsidR="00B92B76" w:rsidRPr="00EF7404" w:rsidRDefault="004A6BD6" w:rsidP="002D323C">
      <w:pPr>
        <w:pStyle w:val="Paragraphe"/>
        <w:spacing w:line="280" w:lineRule="exact"/>
        <w:rPr>
          <w:lang w:val="en-CA"/>
        </w:rPr>
      </w:pPr>
      <w:r w:rsidRPr="00EF7404">
        <w:rPr>
          <w:lang w:val="en-CA"/>
        </w:rPr>
        <w:t xml:space="preserve">In short, as in </w:t>
      </w:r>
      <w:r w:rsidRPr="00EF7404">
        <w:rPr>
          <w:i/>
          <w:iCs/>
          <w:lang w:val="en-CA"/>
        </w:rPr>
        <w:t>Piazza</w:t>
      </w:r>
      <w:r w:rsidRPr="00EF7404">
        <w:rPr>
          <w:lang w:val="en-CA"/>
        </w:rPr>
        <w:t>, the appellant argues that one cannot [</w:t>
      </w:r>
      <w:r w:rsidR="00EF7404" w:rsidRPr="00EF7404">
        <w:rPr>
          <w:smallCaps/>
          <w:lang w:val="en-CA"/>
        </w:rPr>
        <w:t>translation</w:t>
      </w:r>
      <w:r w:rsidRPr="00EF7404">
        <w:rPr>
          <w:lang w:val="en-CA"/>
        </w:rPr>
        <w:t xml:space="preserve">] </w:t>
      </w:r>
      <w:r w:rsidR="005F64AB">
        <w:rPr>
          <w:lang w:val="en-CA"/>
        </w:rPr>
        <w:t>“</w:t>
      </w:r>
      <w:r w:rsidRPr="00EF7404">
        <w:rPr>
          <w:lang w:val="en-CA"/>
        </w:rPr>
        <w:t>attribute to the word forthwith a greater duration than what is necessary to obtain a reliable test where the facts indicate to the police officer that he or she must wait in order to avoid a false ASD reading</w:t>
      </w:r>
      <w:r w:rsidR="005F64AB">
        <w:rPr>
          <w:lang w:val="en-CA"/>
        </w:rPr>
        <w:t>”</w:t>
      </w:r>
      <w:r w:rsidRPr="00EF7404">
        <w:rPr>
          <w:lang w:val="en-CA"/>
        </w:rPr>
        <w:t xml:space="preserve">. Thus, depending on the circumstances, this delay could be longer or shorter than the theoretical 10 or 15 minutes accepted in </w:t>
      </w:r>
      <w:r w:rsidRPr="00EF7404">
        <w:rPr>
          <w:i/>
          <w:iCs/>
          <w:lang w:val="en-CA"/>
        </w:rPr>
        <w:t>Petit</w:t>
      </w:r>
      <w:r w:rsidRPr="00EF7404">
        <w:rPr>
          <w:lang w:val="en-CA"/>
        </w:rPr>
        <w:t xml:space="preserve"> (in fact, in </w:t>
      </w:r>
      <w:r w:rsidRPr="00EF7404">
        <w:rPr>
          <w:i/>
          <w:iCs/>
          <w:lang w:val="en-CA"/>
        </w:rPr>
        <w:t>Petit</w:t>
      </w:r>
      <w:r w:rsidRPr="00EF7404">
        <w:rPr>
          <w:lang w:val="en-CA"/>
        </w:rPr>
        <w:t xml:space="preserve">, the delay was 10 minutes, but the Court also accepted the 15-minute delay referred to in </w:t>
      </w:r>
      <w:r w:rsidRPr="00EF7404">
        <w:rPr>
          <w:i/>
          <w:iCs/>
          <w:lang w:val="en-CA"/>
        </w:rPr>
        <w:t>R. v. Bernshaw</w:t>
      </w:r>
      <w:r w:rsidRPr="00EF7404">
        <w:rPr>
          <w:lang w:val="en-CA"/>
        </w:rPr>
        <w:t>, [1995] 1 S.C.R. 254).</w:t>
      </w:r>
    </w:p>
    <w:p w14:paraId="788AED6E" w14:textId="0DF9A1AF" w:rsidR="00B92B76" w:rsidRPr="00EF7404" w:rsidRDefault="004A6BD6" w:rsidP="002D323C">
      <w:pPr>
        <w:pStyle w:val="Paragraphe"/>
        <w:spacing w:line="280" w:lineRule="exact"/>
        <w:rPr>
          <w:lang w:val="en-CA"/>
        </w:rPr>
      </w:pPr>
      <w:r w:rsidRPr="00EF7404">
        <w:rPr>
          <w:lang w:val="en-CA"/>
        </w:rPr>
        <w:t xml:space="preserve">The respondent is of the opinion that the question as formulated by the appellant is moot because the offence was committed before the arrival of the ASD, as soon as there was a refusal, and that the demand was valid. It notes that the offence is not created by s. 254(2), but, rather, by s. 254(5). It relies on </w:t>
      </w:r>
      <w:r w:rsidRPr="00EF7404">
        <w:rPr>
          <w:i/>
          <w:iCs/>
          <w:lang w:val="en-CA"/>
        </w:rPr>
        <w:t>Degiorgio</w:t>
      </w:r>
      <w:r w:rsidRPr="00EF7404">
        <w:rPr>
          <w:lang w:val="en-CA"/>
        </w:rPr>
        <w:t>, cited by the Municipal Court judge,</w:t>
      </w:r>
      <w:r w:rsidRPr="00EF7404">
        <w:rPr>
          <w:i/>
          <w:iCs/>
          <w:lang w:val="en-CA"/>
        </w:rPr>
        <w:t xml:space="preserve"> </w:t>
      </w:r>
      <w:r w:rsidRPr="00EF7404">
        <w:rPr>
          <w:lang w:val="en-CA"/>
        </w:rPr>
        <w:t xml:space="preserve">to argue that the period covered by the required </w:t>
      </w:r>
      <w:r w:rsidR="005F64AB">
        <w:rPr>
          <w:lang w:val="en-CA"/>
        </w:rPr>
        <w:t>“</w:t>
      </w:r>
      <w:r w:rsidRPr="00EF7404">
        <w:rPr>
          <w:lang w:val="en-CA"/>
        </w:rPr>
        <w:t>immediacy</w:t>
      </w:r>
      <w:r w:rsidR="005F64AB">
        <w:rPr>
          <w:lang w:val="en-CA"/>
        </w:rPr>
        <w:t>”</w:t>
      </w:r>
      <w:r w:rsidRPr="00EF7404">
        <w:rPr>
          <w:lang w:val="en-CA"/>
        </w:rPr>
        <w:t xml:space="preserve"> is the period during which the individual must comply with the demand. A categorical refusal [</w:t>
      </w:r>
      <w:r w:rsidR="00EF7404" w:rsidRPr="00EF7404">
        <w:rPr>
          <w:smallCaps/>
          <w:lang w:val="en-CA"/>
        </w:rPr>
        <w:t>translation</w:t>
      </w:r>
      <w:r w:rsidRPr="00EF7404">
        <w:rPr>
          <w:lang w:val="en-CA"/>
        </w:rPr>
        <w:t xml:space="preserve">] </w:t>
      </w:r>
      <w:r w:rsidR="005F64AB">
        <w:rPr>
          <w:lang w:val="en-CA"/>
        </w:rPr>
        <w:t>“</w:t>
      </w:r>
      <w:r w:rsidRPr="00EF7404">
        <w:rPr>
          <w:lang w:val="en-CA"/>
        </w:rPr>
        <w:t>crystallize</w:t>
      </w:r>
      <w:r w:rsidR="00537763">
        <w:rPr>
          <w:lang w:val="en-CA"/>
        </w:rPr>
        <w:t>s</w:t>
      </w:r>
      <w:r w:rsidR="005F64AB">
        <w:rPr>
          <w:lang w:val="en-CA"/>
        </w:rPr>
        <w:t>”</w:t>
      </w:r>
      <w:r w:rsidRPr="00EF7404">
        <w:rPr>
          <w:lang w:val="en-CA"/>
        </w:rPr>
        <w:t xml:space="preserve"> the offence as of the moment the refusal is expressed, such that the person </w:t>
      </w:r>
      <w:r w:rsidR="00537763">
        <w:rPr>
          <w:lang w:val="en-CA"/>
        </w:rPr>
        <w:t xml:space="preserve">cannot </w:t>
      </w:r>
      <w:r w:rsidRPr="00EF7404">
        <w:rPr>
          <w:lang w:val="en-CA"/>
        </w:rPr>
        <w:t xml:space="preserve">avoid criminal liability as a result of subsequent events. </w:t>
      </w:r>
    </w:p>
    <w:p w14:paraId="04C3A008" w14:textId="10F864DC" w:rsidR="00B92B76" w:rsidRPr="00EF7404" w:rsidRDefault="004A6BD6" w:rsidP="002D323C">
      <w:pPr>
        <w:pStyle w:val="Paragraphe"/>
        <w:spacing w:line="280" w:lineRule="exact"/>
        <w:rPr>
          <w:lang w:val="en-CA"/>
        </w:rPr>
      </w:pPr>
      <w:r w:rsidRPr="00EF7404">
        <w:rPr>
          <w:lang w:val="en-CA"/>
        </w:rPr>
        <w:t>It adds that it is not the number of minutes that is important, but, rather, that the test [</w:t>
      </w:r>
      <w:r w:rsidR="00EF7404" w:rsidRPr="00EF7404">
        <w:rPr>
          <w:smallCaps/>
          <w:lang w:val="en-CA"/>
        </w:rPr>
        <w:t>translation</w:t>
      </w:r>
      <w:r w:rsidRPr="00EF7404">
        <w:rPr>
          <w:lang w:val="en-CA"/>
        </w:rPr>
        <w:t xml:space="preserve">] </w:t>
      </w:r>
      <w:r w:rsidR="005F64AB">
        <w:rPr>
          <w:lang w:val="en-CA"/>
        </w:rPr>
        <w:t>“</w:t>
      </w:r>
      <w:r w:rsidRPr="00EF7404">
        <w:rPr>
          <w:lang w:val="en-CA"/>
        </w:rPr>
        <w:t>be administered as soon as reasonably possible given the circumstances</w:t>
      </w:r>
      <w:r w:rsidR="005F64AB">
        <w:rPr>
          <w:lang w:val="en-CA"/>
        </w:rPr>
        <w:t>”</w:t>
      </w:r>
      <w:r w:rsidRPr="00EF7404">
        <w:rPr>
          <w:lang w:val="en-CA"/>
        </w:rPr>
        <w:t xml:space="preserve">. </w:t>
      </w:r>
    </w:p>
    <w:p w14:paraId="5FDF0B2D" w14:textId="3CBC64E1" w:rsidR="00B92B76" w:rsidRPr="00EF7404" w:rsidRDefault="004A6BD6" w:rsidP="002D323C">
      <w:pPr>
        <w:pStyle w:val="Paragraphe"/>
        <w:spacing w:line="280" w:lineRule="exact"/>
        <w:rPr>
          <w:lang w:val="en-CA"/>
        </w:rPr>
      </w:pPr>
      <w:r w:rsidRPr="00EF7404">
        <w:rPr>
          <w:lang w:val="en-CA"/>
        </w:rPr>
        <w:t xml:space="preserve">As for the intervener, its arguments focus on the standard for reversing a precedent, in this case, </w:t>
      </w:r>
      <w:r w:rsidRPr="00EF7404">
        <w:rPr>
          <w:i/>
          <w:iCs/>
          <w:lang w:val="en-CA"/>
        </w:rPr>
        <w:t xml:space="preserve">Petit. </w:t>
      </w:r>
      <w:r w:rsidRPr="00EF7404">
        <w:rPr>
          <w:lang w:val="en-CA"/>
        </w:rPr>
        <w:t xml:space="preserve">In its view, the facts are sufficiently similar to those in </w:t>
      </w:r>
      <w:r w:rsidRPr="00EF7404">
        <w:rPr>
          <w:i/>
          <w:iCs/>
          <w:lang w:val="en-CA"/>
        </w:rPr>
        <w:t>Petit</w:t>
      </w:r>
      <w:r w:rsidRPr="00EF7404">
        <w:rPr>
          <w:lang w:val="en-CA"/>
        </w:rPr>
        <w:t xml:space="preserve"> for the Court to be able to apply it without distinguishing it. It adds that the judgment in </w:t>
      </w:r>
      <w:r w:rsidRPr="00EF7404">
        <w:rPr>
          <w:i/>
          <w:iCs/>
          <w:lang w:val="en-CA"/>
        </w:rPr>
        <w:t xml:space="preserve">Petit </w:t>
      </w:r>
      <w:r w:rsidRPr="00EF7404">
        <w:rPr>
          <w:lang w:val="en-CA"/>
        </w:rPr>
        <w:t xml:space="preserve">was not rendered </w:t>
      </w:r>
      <w:r w:rsidRPr="00EF7404">
        <w:rPr>
          <w:i/>
          <w:iCs/>
          <w:lang w:val="en-CA"/>
        </w:rPr>
        <w:t>per incuriam</w:t>
      </w:r>
      <w:r w:rsidRPr="00EF7404">
        <w:rPr>
          <w:lang w:val="en-CA"/>
        </w:rPr>
        <w:t xml:space="preserve"> nor is it manifestly wrong, </w:t>
      </w:r>
      <w:r w:rsidR="001C47C3">
        <w:rPr>
          <w:lang w:val="en-CA"/>
        </w:rPr>
        <w:t xml:space="preserve">that </w:t>
      </w:r>
      <w:r w:rsidRPr="00EF7404">
        <w:rPr>
          <w:lang w:val="en-CA"/>
        </w:rPr>
        <w:t xml:space="preserve">there is no jurisprudential conflict within the Court and </w:t>
      </w:r>
      <w:r w:rsidR="001C47C3">
        <w:rPr>
          <w:lang w:val="en-CA"/>
        </w:rPr>
        <w:t xml:space="preserve">that </w:t>
      </w:r>
      <w:r w:rsidRPr="00EF7404">
        <w:rPr>
          <w:lang w:val="en-CA"/>
        </w:rPr>
        <w:t>there are no compelling circumstances call</w:t>
      </w:r>
      <w:r w:rsidR="001C47C3">
        <w:rPr>
          <w:lang w:val="en-CA"/>
        </w:rPr>
        <w:t>ing</w:t>
      </w:r>
      <w:r w:rsidRPr="00EF7404">
        <w:rPr>
          <w:lang w:val="en-CA"/>
        </w:rPr>
        <w:t xml:space="preserve"> for a reversal of the judgment or the principles set out therein. </w:t>
      </w:r>
    </w:p>
    <w:p w14:paraId="0ABCA700" w14:textId="77777777" w:rsidR="00B92B76" w:rsidRPr="00EF7404" w:rsidRDefault="004A6BD6" w:rsidP="002D323C">
      <w:pPr>
        <w:pStyle w:val="Paragraphe"/>
        <w:spacing w:line="280" w:lineRule="exact"/>
        <w:rPr>
          <w:lang w:val="en-CA"/>
        </w:rPr>
      </w:pPr>
      <w:r w:rsidRPr="00EF7404">
        <w:rPr>
          <w:lang w:val="en-CA"/>
        </w:rPr>
        <w:t xml:space="preserve">It also submits that the provision does not require that the peace officer be in possession of an ASD in order for the demand to be valid. </w:t>
      </w:r>
    </w:p>
    <w:p w14:paraId="025F62D3" w14:textId="77777777" w:rsidR="00B92B76" w:rsidRPr="00EF7404" w:rsidRDefault="004A6BD6" w:rsidP="002D323C">
      <w:pPr>
        <w:pStyle w:val="Titre1"/>
        <w:spacing w:line="280" w:lineRule="exact"/>
        <w:rPr>
          <w:lang w:val="en-CA"/>
        </w:rPr>
      </w:pPr>
      <w:r w:rsidRPr="00EF7404">
        <w:rPr>
          <w:bCs/>
          <w:lang w:val="en-CA"/>
        </w:rPr>
        <w:t>Analysis</w:t>
      </w:r>
    </w:p>
    <w:p w14:paraId="205EF87E" w14:textId="77777777" w:rsidR="00B92B76" w:rsidRPr="00EF7404" w:rsidRDefault="004A6BD6" w:rsidP="002D323C">
      <w:pPr>
        <w:pStyle w:val="Titre2"/>
        <w:rPr>
          <w:lang w:val="en-CA"/>
        </w:rPr>
      </w:pPr>
      <w:r w:rsidRPr="00EF7404">
        <w:rPr>
          <w:bCs/>
          <w:iCs/>
          <w:lang w:val="en-CA"/>
        </w:rPr>
        <w:t>The demand and its validity</w:t>
      </w:r>
    </w:p>
    <w:p w14:paraId="766FCA52" w14:textId="77777777" w:rsidR="00B92B76" w:rsidRPr="00EF7404" w:rsidRDefault="004A6BD6" w:rsidP="002D323C">
      <w:pPr>
        <w:pStyle w:val="Paragraphe"/>
        <w:spacing w:line="280" w:lineRule="exact"/>
        <w:rPr>
          <w:lang w:val="en-CA"/>
        </w:rPr>
      </w:pPr>
      <w:r w:rsidRPr="00EF7404">
        <w:rPr>
          <w:lang w:val="en-CA"/>
        </w:rPr>
        <w:t xml:space="preserve">It goes without saying that an invalid or illegal demand cannot result in criminal liability in the event of a refusal: </w:t>
      </w:r>
      <w:r w:rsidRPr="00EF7404">
        <w:rPr>
          <w:i/>
          <w:iCs/>
          <w:lang w:val="en-CA"/>
        </w:rPr>
        <w:t xml:space="preserve">R. v. Grant, </w:t>
      </w:r>
      <w:r w:rsidRPr="00EF7404">
        <w:rPr>
          <w:lang w:val="en-CA"/>
        </w:rPr>
        <w:t xml:space="preserve">[1991] 3 S.C.R. 139, at pages 149 and 150. The respondent is right to point out that the offence is not set out in s. 254(2) </w:t>
      </w:r>
      <w:r w:rsidRPr="00EF7404">
        <w:rPr>
          <w:i/>
          <w:iCs/>
          <w:lang w:val="en-CA"/>
        </w:rPr>
        <w:t>Cr.C</w:t>
      </w:r>
      <w:r w:rsidRPr="00EF7404">
        <w:rPr>
          <w:lang w:val="en-CA"/>
        </w:rPr>
        <w:t xml:space="preserve">., but, rather, in s. 254(5). Nonetheless, the demand must be valid within the meaning of subsection (2) in order for the refusal referred to in subsection (5) to result in criminal liability. Indeed, Lamer, C.J. emphasized this point in </w:t>
      </w:r>
      <w:r w:rsidRPr="00EF7404">
        <w:rPr>
          <w:i/>
          <w:iCs/>
          <w:lang w:val="en-CA"/>
        </w:rPr>
        <w:t>Grant</w:t>
      </w:r>
      <w:r w:rsidRPr="00EF7404">
        <w:rPr>
          <w:lang w:val="en-CA"/>
        </w:rPr>
        <w:t xml:space="preserve">. Even though the section numbers in the </w:t>
      </w:r>
      <w:r w:rsidRPr="00EF7404">
        <w:rPr>
          <w:i/>
          <w:iCs/>
          <w:lang w:val="en-CA"/>
        </w:rPr>
        <w:t>Criminal Code</w:t>
      </w:r>
      <w:r w:rsidRPr="00EF7404">
        <w:rPr>
          <w:lang w:val="en-CA"/>
        </w:rPr>
        <w:t xml:space="preserve"> were different at the time of that judgment, the wording was similar and, as the Chief Justice wrote at page 149:</w:t>
      </w:r>
    </w:p>
    <w:p w14:paraId="39B1A6BF" w14:textId="2276EF52" w:rsidR="00B92B76" w:rsidRPr="00EF7404" w:rsidRDefault="004A6BD6" w:rsidP="002D323C">
      <w:pPr>
        <w:pStyle w:val="Citationenretrait"/>
        <w:rPr>
          <w:lang w:val="en-CA"/>
        </w:rPr>
      </w:pPr>
      <w:r w:rsidRPr="00EF7404">
        <w:rPr>
          <w:lang w:val="en-CA"/>
        </w:rPr>
        <w:t>The crucial point is that, unless the demand made by a police officer falls within the ambit of s. 238(2), the person to whom the demand is addressed is under no obligation to comply with the demand, and does not commit the offence under s.</w:t>
      </w:r>
      <w:r w:rsidR="00746BCE">
        <w:rPr>
          <w:lang w:val="en-CA"/>
        </w:rPr>
        <w:t> </w:t>
      </w:r>
      <w:r w:rsidRPr="00EF7404">
        <w:rPr>
          <w:lang w:val="en-CA"/>
        </w:rPr>
        <w:t>238(5) if he refuses to do so.</w:t>
      </w:r>
    </w:p>
    <w:p w14:paraId="6F56CA12" w14:textId="77777777" w:rsidR="00B92B76" w:rsidRPr="00EF7404" w:rsidRDefault="004A6BD6" w:rsidP="002D323C">
      <w:pPr>
        <w:pStyle w:val="Paragraphe"/>
        <w:spacing w:line="280" w:lineRule="exact"/>
        <w:rPr>
          <w:lang w:val="en-CA"/>
        </w:rPr>
      </w:pPr>
      <w:r w:rsidRPr="00EF7404">
        <w:rPr>
          <w:lang w:val="en-CA"/>
        </w:rPr>
        <w:t xml:space="preserve">In </w:t>
      </w:r>
      <w:r w:rsidRPr="00EF7404">
        <w:rPr>
          <w:i/>
          <w:iCs/>
          <w:lang w:val="en-CA"/>
        </w:rPr>
        <w:t>Grant</w:t>
      </w:r>
      <w:r w:rsidRPr="00EF7404">
        <w:rPr>
          <w:lang w:val="en-CA"/>
        </w:rPr>
        <w:t>, the police officer had demanded that the driver submit to a screening test with an ASD which, however, he did not have in his possession. A police officer finally arrived with the device after thirty minutes. Mr. Grant refused to comply and was therefore charged. At page 150, Lamer, C.J. added:</w:t>
      </w:r>
    </w:p>
    <w:p w14:paraId="6F9308D3" w14:textId="47C7DFA0" w:rsidR="00B92B76" w:rsidRPr="00EF7404" w:rsidRDefault="004A6BD6" w:rsidP="002D323C">
      <w:pPr>
        <w:pStyle w:val="Citationenretrait"/>
        <w:rPr>
          <w:lang w:val="en-CA"/>
        </w:rPr>
      </w:pPr>
      <w:r w:rsidRPr="00EF7404">
        <w:rPr>
          <w:lang w:val="en-CA"/>
        </w:rPr>
        <w:t>In my opinion, the actions of the officer in this case fell outside of the ambit of s.</w:t>
      </w:r>
      <w:r w:rsidR="00746BCE">
        <w:rPr>
          <w:lang w:val="en-CA"/>
        </w:rPr>
        <w:t> </w:t>
      </w:r>
      <w:r w:rsidRPr="00EF7404">
        <w:rPr>
          <w:lang w:val="en-CA"/>
        </w:rPr>
        <w:t xml:space="preserve">238(2). </w:t>
      </w:r>
      <w:r w:rsidRPr="00EF7404">
        <w:rPr>
          <w:u w:val="single"/>
          <w:lang w:val="en-CA"/>
        </w:rPr>
        <w:t xml:space="preserve">The demand made was not the demand authorized by s. 238(2), that Mr. Grant provide a sample of his breath </w:t>
      </w:r>
      <w:r w:rsidR="005F64AB">
        <w:rPr>
          <w:u w:val="single"/>
          <w:lang w:val="en-CA"/>
        </w:rPr>
        <w:t>“</w:t>
      </w:r>
      <w:r w:rsidRPr="00EF7404">
        <w:rPr>
          <w:u w:val="single"/>
          <w:lang w:val="en-CA"/>
        </w:rPr>
        <w:t>forthwith.</w:t>
      </w:r>
      <w:r w:rsidR="005F64AB">
        <w:rPr>
          <w:u w:val="single"/>
          <w:lang w:val="en-CA"/>
        </w:rPr>
        <w:t>”</w:t>
      </w:r>
      <w:r w:rsidRPr="00EF7404">
        <w:rPr>
          <w:lang w:val="en-CA"/>
        </w:rPr>
        <w:t xml:space="preserve"> </w:t>
      </w:r>
      <w:r w:rsidRPr="00EF7404">
        <w:rPr>
          <w:u w:val="single"/>
          <w:lang w:val="en-CA"/>
        </w:rPr>
        <w:t>Instead, the demand made was a demand that he provide a breath sample when the required apparatus arrived, which turned out to be half an hour later</w:t>
      </w:r>
      <w:r w:rsidRPr="00EF7404">
        <w:rPr>
          <w:lang w:val="en-CA"/>
        </w:rPr>
        <w:t>. It follows that Mr. Grant was under no obligation to comply with the police officer</w:t>
      </w:r>
      <w:r w:rsidR="005F64AB">
        <w:rPr>
          <w:lang w:val="en-CA"/>
        </w:rPr>
        <w:t>’</w:t>
      </w:r>
      <w:r w:rsidRPr="00EF7404">
        <w:rPr>
          <w:lang w:val="en-CA"/>
        </w:rPr>
        <w:t xml:space="preserve">s demand, and did not commit the offence under s. 238(5) when he failed to do so. </w:t>
      </w:r>
      <w:r w:rsidRPr="00EF7404">
        <w:rPr>
          <w:u w:val="single"/>
          <w:lang w:val="en-CA"/>
        </w:rPr>
        <w:t xml:space="preserve">The context of s. 238(2) indicates no basis for departing from the ordinary, dictionary meaning of the word </w:t>
      </w:r>
      <w:r w:rsidR="005F64AB">
        <w:rPr>
          <w:u w:val="single"/>
          <w:lang w:val="en-CA"/>
        </w:rPr>
        <w:t>“</w:t>
      </w:r>
      <w:r w:rsidRPr="00EF7404">
        <w:rPr>
          <w:u w:val="single"/>
          <w:lang w:val="en-CA"/>
        </w:rPr>
        <w:t>forthwith</w:t>
      </w:r>
      <w:r w:rsidR="005F64AB">
        <w:rPr>
          <w:u w:val="single"/>
          <w:lang w:val="en-CA"/>
        </w:rPr>
        <w:t>”</w:t>
      </w:r>
      <w:r w:rsidRPr="00EF7404">
        <w:rPr>
          <w:u w:val="single"/>
          <w:lang w:val="en-CA"/>
        </w:rPr>
        <w:t xml:space="preserve"> which suggests that the breath sample is to be provided immediately. </w:t>
      </w:r>
      <w:r w:rsidRPr="00EF7404">
        <w:rPr>
          <w:lang w:val="en-CA"/>
        </w:rPr>
        <w:t xml:space="preserve">Without delving into an analysis of the exact number of minutes which may pass before the demand for a breath sample falls outside of the term </w:t>
      </w:r>
      <w:r w:rsidR="005F64AB">
        <w:rPr>
          <w:lang w:val="en-CA"/>
        </w:rPr>
        <w:t>“</w:t>
      </w:r>
      <w:r w:rsidRPr="00EF7404">
        <w:rPr>
          <w:lang w:val="en-CA"/>
        </w:rPr>
        <w:t>forthwith</w:t>
      </w:r>
      <w:r w:rsidR="005F64AB">
        <w:rPr>
          <w:lang w:val="en-CA"/>
        </w:rPr>
        <w:t>”</w:t>
      </w:r>
      <w:r w:rsidRPr="00EF7404">
        <w:rPr>
          <w:lang w:val="en-CA"/>
        </w:rPr>
        <w:t>, I would simply observe that where, as here, the demand is made by a police officer who is without an A.L.E.R.T. unit and the unit does not, in fact, arrive for a half hour, the provisions of s. 238(2) will not be satisfied.</w:t>
      </w:r>
    </w:p>
    <w:p w14:paraId="76C68341" w14:textId="77777777" w:rsidR="00B92B76" w:rsidRPr="00EF7404" w:rsidRDefault="004A6BD6" w:rsidP="002D323C">
      <w:pPr>
        <w:pStyle w:val="Citationenretrait"/>
        <w:ind w:left="6663"/>
        <w:rPr>
          <w:sz w:val="24"/>
          <w:szCs w:val="24"/>
          <w:lang w:val="en-CA"/>
        </w:rPr>
      </w:pPr>
      <w:r w:rsidRPr="00EF7404">
        <w:rPr>
          <w:sz w:val="24"/>
          <w:szCs w:val="24"/>
          <w:lang w:val="en-CA"/>
        </w:rPr>
        <w:t>[Emphasis added]</w:t>
      </w:r>
    </w:p>
    <w:p w14:paraId="38A65784" w14:textId="7FC6016E" w:rsidR="00B92B76" w:rsidRPr="00EF7404" w:rsidRDefault="004A6BD6" w:rsidP="002D323C">
      <w:pPr>
        <w:pStyle w:val="Paragraphe"/>
        <w:spacing w:line="280" w:lineRule="exact"/>
        <w:rPr>
          <w:lang w:val="en-CA"/>
        </w:rPr>
      </w:pPr>
      <w:r w:rsidRPr="00EF7404">
        <w:rPr>
          <w:lang w:val="en-CA"/>
        </w:rPr>
        <w:t>The foregoing provides a good indication of the course of action to be followed</w:t>
      </w:r>
      <w:r w:rsidR="00746BCE">
        <w:rPr>
          <w:lang w:val="en-CA"/>
        </w:rPr>
        <w:t>,</w:t>
      </w:r>
      <w:r w:rsidRPr="00EF7404">
        <w:rPr>
          <w:lang w:val="en-CA"/>
        </w:rPr>
        <w:t xml:space="preserve"> and it is therefore crucial to determine whether the demand made by police officer Atkins was in compliance with the legal requirements so as to determine whether the appellant was guilty by refusing. </w:t>
      </w:r>
    </w:p>
    <w:p w14:paraId="60782304" w14:textId="10D177F7" w:rsidR="00B92B76" w:rsidRPr="00EF7404" w:rsidRDefault="004A6BD6" w:rsidP="002D323C">
      <w:pPr>
        <w:pStyle w:val="Paragraphe"/>
        <w:spacing w:line="280" w:lineRule="exact"/>
        <w:rPr>
          <w:lang w:val="en-CA"/>
        </w:rPr>
      </w:pPr>
      <w:r w:rsidRPr="00EF7404">
        <w:rPr>
          <w:i/>
          <w:iCs/>
          <w:lang w:val="en-CA"/>
        </w:rPr>
        <w:t>Piazza</w:t>
      </w:r>
      <w:r w:rsidRPr="00EF7404">
        <w:rPr>
          <w:lang w:val="en-CA"/>
        </w:rPr>
        <w:t>, on which the appellant bases his arguments, does not provide a full answer, given the context for that decision and the issue it had to address. As my colleague Vauclair, J.A. stated at para. 6 of that decision, the issue was as follows: [</w:t>
      </w:r>
      <w:r w:rsidR="00EF7404" w:rsidRPr="00EF7404">
        <w:rPr>
          <w:smallCaps/>
          <w:lang w:val="en-CA"/>
        </w:rPr>
        <w:t>translation</w:t>
      </w:r>
      <w:r w:rsidRPr="00EF7404">
        <w:rPr>
          <w:lang w:val="en-CA"/>
        </w:rPr>
        <w:t xml:space="preserve">] </w:t>
      </w:r>
      <w:r w:rsidR="005F64AB">
        <w:rPr>
          <w:lang w:val="en-CA"/>
        </w:rPr>
        <w:t>“</w:t>
      </w:r>
      <w:r w:rsidRPr="00EF7404">
        <w:rPr>
          <w:lang w:val="en-CA"/>
        </w:rPr>
        <w:t xml:space="preserve">Does the driver of a vehicle that has been stopped have the right, if the waiting time allows, to contact counsel before providing breath samples into an approved screening device (hereinafter </w:t>
      </w:r>
      <w:r w:rsidR="005F64AB">
        <w:rPr>
          <w:lang w:val="en-CA"/>
        </w:rPr>
        <w:t>“</w:t>
      </w:r>
      <w:r w:rsidRPr="00EF7404">
        <w:rPr>
          <w:lang w:val="en-CA"/>
        </w:rPr>
        <w:t>ASD</w:t>
      </w:r>
      <w:r w:rsidR="005F64AB">
        <w:rPr>
          <w:lang w:val="en-CA"/>
        </w:rPr>
        <w:t>”</w:t>
      </w:r>
      <w:r w:rsidRPr="00EF7404">
        <w:rPr>
          <w:lang w:val="en-CA"/>
        </w:rPr>
        <w:t xml:space="preserve">)? If there was an infringement, did the Superior Court </w:t>
      </w:r>
      <w:r w:rsidR="00ED7634" w:rsidRPr="00EF7404">
        <w:rPr>
          <w:lang w:val="en-CA"/>
        </w:rPr>
        <w:t>ju</w:t>
      </w:r>
      <w:r w:rsidR="00ED7634">
        <w:rPr>
          <w:lang w:val="en-CA"/>
        </w:rPr>
        <w:t>stice</w:t>
      </w:r>
      <w:r w:rsidR="00ED7634" w:rsidRPr="00EF7404">
        <w:rPr>
          <w:lang w:val="en-CA"/>
        </w:rPr>
        <w:t xml:space="preserve"> </w:t>
      </w:r>
      <w:r w:rsidRPr="00EF7404">
        <w:rPr>
          <w:lang w:val="en-CA"/>
        </w:rPr>
        <w:t xml:space="preserve">err in failing to consider s. 24(2) of the </w:t>
      </w:r>
      <w:r w:rsidRPr="00EF7404">
        <w:rPr>
          <w:i/>
          <w:iCs/>
          <w:lang w:val="en-CA"/>
        </w:rPr>
        <w:t>Canadian Charter of Rights and Freedoms</w:t>
      </w:r>
      <w:r w:rsidRPr="00EF7404">
        <w:rPr>
          <w:lang w:val="en-CA"/>
        </w:rPr>
        <w:t>, […]</w:t>
      </w:r>
      <w:r w:rsidR="005F64AB">
        <w:rPr>
          <w:lang w:val="en-CA"/>
        </w:rPr>
        <w:t>”</w:t>
      </w:r>
      <w:r w:rsidRPr="00EF7404">
        <w:rPr>
          <w:lang w:val="en-CA"/>
        </w:rPr>
        <w:t>. In other words, the dispute did not pertain directly to the legality of the demand in light of the delay, but, rather, to the detaine</w:t>
      </w:r>
      <w:r w:rsidR="00E20D7A">
        <w:rPr>
          <w:lang w:val="en-CA"/>
        </w:rPr>
        <w:t>e</w:t>
      </w:r>
      <w:r w:rsidR="005F64AB">
        <w:rPr>
          <w:lang w:val="en-CA"/>
        </w:rPr>
        <w:t>’</w:t>
      </w:r>
      <w:r w:rsidRPr="00EF7404">
        <w:rPr>
          <w:lang w:val="en-CA"/>
        </w:rPr>
        <w:t>s right to contact his lawyer following such a demand and the possibility of excluding the evidence if that right was infringed.</w:t>
      </w:r>
    </w:p>
    <w:p w14:paraId="7BE435E7" w14:textId="16F3425C" w:rsidR="00B92B76" w:rsidRPr="00EF7404" w:rsidRDefault="004A6BD6" w:rsidP="002D323C">
      <w:pPr>
        <w:pStyle w:val="Paragraphe"/>
        <w:spacing w:line="280" w:lineRule="exact"/>
        <w:rPr>
          <w:lang w:val="en-CA"/>
        </w:rPr>
      </w:pPr>
      <w:r w:rsidRPr="00EF7404">
        <w:rPr>
          <w:lang w:val="en-CA"/>
        </w:rPr>
        <w:t xml:space="preserve">This does not mean, however, that </w:t>
      </w:r>
      <w:r w:rsidRPr="00EF7404">
        <w:rPr>
          <w:i/>
          <w:iCs/>
          <w:lang w:val="en-CA"/>
        </w:rPr>
        <w:t>Piazza</w:t>
      </w:r>
      <w:r w:rsidRPr="00EF7404">
        <w:rPr>
          <w:lang w:val="en-CA"/>
        </w:rPr>
        <w:t xml:space="preserve"> is not useful. On the contrary, in such matters, judgments addressing the right to counsel during the waiting time, the legality of the demand, the concept of </w:t>
      </w:r>
      <w:r w:rsidR="005F64AB">
        <w:rPr>
          <w:lang w:val="en-CA"/>
        </w:rPr>
        <w:t>“</w:t>
      </w:r>
      <w:r w:rsidRPr="00EF7404">
        <w:rPr>
          <w:lang w:val="en-CA"/>
        </w:rPr>
        <w:t>immediacy</w:t>
      </w:r>
      <w:r w:rsidR="005F64AB">
        <w:rPr>
          <w:lang w:val="en-CA"/>
        </w:rPr>
        <w:t>”</w:t>
      </w:r>
      <w:r w:rsidRPr="00EF7404">
        <w:rPr>
          <w:lang w:val="en-CA"/>
        </w:rPr>
        <w:t>, the exclusion of evidence and the reasons for a refusal address overlapping principles</w:t>
      </w:r>
      <w:r w:rsidR="00E20D7A">
        <w:rPr>
          <w:lang w:val="en-CA"/>
        </w:rPr>
        <w:t>,</w:t>
      </w:r>
      <w:r w:rsidRPr="00EF7404">
        <w:rPr>
          <w:lang w:val="en-CA"/>
        </w:rPr>
        <w:t xml:space="preserve"> and my colleague</w:t>
      </w:r>
      <w:r w:rsidR="005F64AB">
        <w:rPr>
          <w:lang w:val="en-CA"/>
        </w:rPr>
        <w:t>’</w:t>
      </w:r>
      <w:r w:rsidRPr="00EF7404">
        <w:rPr>
          <w:lang w:val="en-CA"/>
        </w:rPr>
        <w:t xml:space="preserve">s remarks in </w:t>
      </w:r>
      <w:r w:rsidRPr="00EF7404">
        <w:rPr>
          <w:i/>
          <w:iCs/>
          <w:lang w:val="en-CA"/>
        </w:rPr>
        <w:t>Piazza</w:t>
      </w:r>
      <w:r w:rsidRPr="00EF7404">
        <w:rPr>
          <w:lang w:val="en-CA"/>
        </w:rPr>
        <w:t xml:space="preserve"> are extremely useful, at least indirectly, particularly because of what he added at para. 7: [</w:t>
      </w:r>
      <w:r w:rsidR="00EF7404" w:rsidRPr="00EF7404">
        <w:rPr>
          <w:smallCaps/>
          <w:lang w:val="en-CA"/>
        </w:rPr>
        <w:t>translation</w:t>
      </w:r>
      <w:r w:rsidRPr="00EF7404">
        <w:rPr>
          <w:lang w:val="en-CA"/>
        </w:rPr>
        <w:t xml:space="preserve">] </w:t>
      </w:r>
      <w:r w:rsidR="005F64AB">
        <w:rPr>
          <w:lang w:val="en-CA"/>
        </w:rPr>
        <w:t>“</w:t>
      </w:r>
      <w:r w:rsidRPr="00EF7404">
        <w:rPr>
          <w:lang w:val="en-CA"/>
        </w:rPr>
        <w:t>These two questions, which were raised by the appellant, pertain more generally to the lawfulness of the demand to provide the sample when the state is not able to provide the driver with the means to comply with the demand forthwith. If it is not possible to respond forthwith, does the demand remain lawful and can the refusal to comply constitute an offence?</w:t>
      </w:r>
      <w:r w:rsidR="005F64AB">
        <w:rPr>
          <w:lang w:val="en-CA"/>
        </w:rPr>
        <w:t>”</w:t>
      </w:r>
      <w:r w:rsidRPr="00EF7404">
        <w:rPr>
          <w:lang w:val="en-CA"/>
        </w:rPr>
        <w:t xml:space="preserve">. </w:t>
      </w:r>
    </w:p>
    <w:p w14:paraId="7CF4DCDE" w14:textId="77777777" w:rsidR="00B92B76" w:rsidRPr="00EF7404" w:rsidRDefault="004A6BD6" w:rsidP="002D323C">
      <w:pPr>
        <w:pStyle w:val="Paragraphe"/>
        <w:spacing w:line="280" w:lineRule="exact"/>
        <w:rPr>
          <w:lang w:val="en-CA"/>
        </w:rPr>
      </w:pPr>
      <w:r w:rsidRPr="00EF7404">
        <w:rPr>
          <w:lang w:val="en-CA"/>
        </w:rPr>
        <w:t>After an exhaustive review of the jurisprudence, my colleague summarized the situation admirably:</w:t>
      </w:r>
    </w:p>
    <w:p w14:paraId="58CA3DE3" w14:textId="77777777" w:rsidR="00EF7404" w:rsidRDefault="004A6BD6" w:rsidP="00AF4A35">
      <w:pPr>
        <w:pStyle w:val="Citationenretrait"/>
        <w:tabs>
          <w:tab w:val="left" w:pos="1440"/>
        </w:tabs>
        <w:spacing w:before="0"/>
        <w:rPr>
          <w:lang w:val="en-CA"/>
        </w:rPr>
      </w:pPr>
      <w:r w:rsidRPr="00EF7404">
        <w:rPr>
          <w:lang w:val="en-CA"/>
        </w:rPr>
        <w:t>[</w:t>
      </w:r>
      <w:r w:rsidRPr="00EF7404">
        <w:rPr>
          <w:smallCaps/>
          <w:lang w:val="en-CA"/>
        </w:rPr>
        <w:t>translation</w:t>
      </w:r>
      <w:r w:rsidRPr="00EF7404">
        <w:rPr>
          <w:lang w:val="en-CA"/>
        </w:rPr>
        <w:t>]</w:t>
      </w:r>
    </w:p>
    <w:p w14:paraId="61B51670" w14:textId="53F1A67F" w:rsidR="00B92B76" w:rsidRPr="00EF7404" w:rsidRDefault="004A6BD6" w:rsidP="00AF4A35">
      <w:pPr>
        <w:pStyle w:val="Citationenretrait"/>
        <w:tabs>
          <w:tab w:val="left" w:pos="1440"/>
        </w:tabs>
        <w:spacing w:before="0"/>
        <w:rPr>
          <w:lang w:val="en-CA"/>
        </w:rPr>
      </w:pPr>
      <w:r w:rsidRPr="00EF7404">
        <w:rPr>
          <w:lang w:val="en-CA"/>
        </w:rPr>
        <w:t xml:space="preserve">[84] </w:t>
      </w:r>
      <w:r w:rsidRPr="00EF7404">
        <w:rPr>
          <w:lang w:val="en-CA"/>
        </w:rPr>
        <w:tab/>
        <w:t>In short, I gather from the Supreme Court jurisprudence that, in spite of the opportunities it had, the Court declined to attribute to the word forthwith a greater duration than what is necessary to obtain a reliable test where the facts indicate to the police officer that he or she must wait in order to avoid a false ASD reading. This interpretation is justified because it is based on the very wording of s.</w:t>
      </w:r>
      <w:r w:rsidR="00F92D90">
        <w:rPr>
          <w:lang w:val="en-CA"/>
        </w:rPr>
        <w:t> </w:t>
      </w:r>
      <w:r w:rsidRPr="00EF7404">
        <w:rPr>
          <w:lang w:val="en-CA"/>
        </w:rPr>
        <w:t>254(2)</w:t>
      </w:r>
      <w:r w:rsidR="00A91CF6">
        <w:rPr>
          <w:lang w:val="en-CA"/>
        </w:rPr>
        <w:t> </w:t>
      </w:r>
      <w:r w:rsidRPr="00EF7404">
        <w:rPr>
          <w:i/>
          <w:iCs/>
          <w:lang w:val="en-CA"/>
        </w:rPr>
        <w:t>Cr. C.</w:t>
      </w:r>
      <w:r w:rsidRPr="00EF7404">
        <w:rPr>
          <w:lang w:val="en-CA"/>
        </w:rPr>
        <w:t xml:space="preserve"> I note, in passing, that the delay can sometimes be longer, as it was in </w:t>
      </w:r>
      <w:r w:rsidRPr="00EF7404">
        <w:rPr>
          <w:i/>
          <w:iCs/>
          <w:lang w:val="en-CA"/>
        </w:rPr>
        <w:t>R. v. Anderson</w:t>
      </w:r>
      <w:r w:rsidRPr="00EF7404">
        <w:rPr>
          <w:lang w:val="en-CA"/>
        </w:rPr>
        <w:t xml:space="preserve">, 2014 SKCA 32, where, it seems, a 16-minute delay was reasonable for the ASD to </w:t>
      </w:r>
      <w:r w:rsidR="005F64AB">
        <w:rPr>
          <w:lang w:val="en-CA"/>
        </w:rPr>
        <w:t>“</w:t>
      </w:r>
      <w:r w:rsidRPr="00EF7404">
        <w:rPr>
          <w:lang w:val="en-CA"/>
        </w:rPr>
        <w:t>warm up</w:t>
      </w:r>
      <w:r w:rsidR="005F64AB">
        <w:rPr>
          <w:lang w:val="en-CA"/>
        </w:rPr>
        <w:t>”</w:t>
      </w:r>
      <w:r w:rsidRPr="00EF7404">
        <w:rPr>
          <w:lang w:val="en-CA"/>
        </w:rPr>
        <w:t xml:space="preserve"> and become operational.</w:t>
      </w:r>
    </w:p>
    <w:p w14:paraId="7B2AB2E1" w14:textId="6850559E" w:rsidR="00B92B76" w:rsidRPr="00EF7404" w:rsidRDefault="004A6BD6" w:rsidP="002D323C">
      <w:pPr>
        <w:pStyle w:val="Citationenretrait"/>
        <w:tabs>
          <w:tab w:val="left" w:pos="1440"/>
        </w:tabs>
        <w:rPr>
          <w:lang w:val="en-CA"/>
        </w:rPr>
      </w:pPr>
      <w:r w:rsidRPr="00EF7404">
        <w:rPr>
          <w:lang w:val="en-CA"/>
        </w:rPr>
        <w:t xml:space="preserve">[85] </w:t>
      </w:r>
      <w:r w:rsidRPr="00EF7404">
        <w:rPr>
          <w:lang w:val="en-CA"/>
        </w:rPr>
        <w:tab/>
        <w:t>The Supreme Court rejected the idea that another type of waiting period might be acceptable, such as a theoretical 15-minute delay or a short delay to bring an ASD to the detainee</w:t>
      </w:r>
      <w:r w:rsidR="005F64AB">
        <w:rPr>
          <w:lang w:val="en-CA"/>
        </w:rPr>
        <w:t>’</w:t>
      </w:r>
      <w:r w:rsidRPr="00EF7404">
        <w:rPr>
          <w:lang w:val="en-CA"/>
        </w:rPr>
        <w:t xml:space="preserve">s location. I agree with this aspect of </w:t>
      </w:r>
      <w:r w:rsidRPr="00EF7404">
        <w:rPr>
          <w:i/>
          <w:iCs/>
          <w:lang w:val="en-CA"/>
        </w:rPr>
        <w:t>R. v. George</w:t>
      </w:r>
      <w:r w:rsidRPr="00EF7404">
        <w:rPr>
          <w:lang w:val="en-CA"/>
        </w:rPr>
        <w:t xml:space="preserve">: paras. 47-50. </w:t>
      </w:r>
    </w:p>
    <w:p w14:paraId="301D6D08" w14:textId="054CB16C" w:rsidR="00B92B76" w:rsidRPr="00EF7404" w:rsidRDefault="004A6BD6" w:rsidP="002D323C">
      <w:pPr>
        <w:pStyle w:val="Paragraphe"/>
        <w:spacing w:line="280" w:lineRule="exact"/>
        <w:rPr>
          <w:lang w:val="en-CA"/>
        </w:rPr>
      </w:pPr>
      <w:r w:rsidRPr="00EF7404">
        <w:rPr>
          <w:lang w:val="en-CA"/>
        </w:rPr>
        <w:t>There is no need to repeat my colleague</w:t>
      </w:r>
      <w:r w:rsidR="005F64AB">
        <w:rPr>
          <w:lang w:val="en-CA"/>
        </w:rPr>
        <w:t>’</w:t>
      </w:r>
      <w:r w:rsidRPr="00EF7404">
        <w:rPr>
          <w:lang w:val="en-CA"/>
        </w:rPr>
        <w:t xml:space="preserve">s analysis. He synthesized the state of the law perfectly in those two paragraphs, at least as far as the Supreme Court is concerned. I would nevertheless like to cite an excerpt from </w:t>
      </w:r>
      <w:r w:rsidRPr="00EF7404">
        <w:rPr>
          <w:i/>
          <w:iCs/>
          <w:lang w:val="en-CA"/>
        </w:rPr>
        <w:t>R. v. Woods</w:t>
      </w:r>
      <w:r w:rsidRPr="00EF7404">
        <w:rPr>
          <w:lang w:val="en-CA"/>
        </w:rPr>
        <w:t>, 2005 SCC 42, [2005] 2 S.C.R. 205, which I find particularly telling. Fish, J. wrote:</w:t>
      </w:r>
    </w:p>
    <w:p w14:paraId="73EC9928" w14:textId="7448A36B" w:rsidR="00B92B76" w:rsidRPr="00EF7404" w:rsidRDefault="004A6BD6" w:rsidP="002D323C">
      <w:pPr>
        <w:pStyle w:val="Citationenretrait"/>
        <w:tabs>
          <w:tab w:val="left" w:pos="1440"/>
        </w:tabs>
        <w:rPr>
          <w:lang w:val="en-CA"/>
        </w:rPr>
      </w:pPr>
      <w:r w:rsidRPr="00EF7404">
        <w:rPr>
          <w:lang w:val="en-CA"/>
        </w:rPr>
        <w:t>43</w:t>
      </w:r>
      <w:r w:rsidRPr="00EF7404">
        <w:rPr>
          <w:lang w:val="en-CA"/>
        </w:rPr>
        <w:tab/>
        <w:t xml:space="preserve">It is true, as I mentioned earlier, that </w:t>
      </w:r>
      <w:r w:rsidR="005F64AB">
        <w:rPr>
          <w:lang w:val="en-CA"/>
        </w:rPr>
        <w:t>“</w:t>
      </w:r>
      <w:r w:rsidRPr="00EF7404">
        <w:rPr>
          <w:lang w:val="en-CA"/>
        </w:rPr>
        <w:t>forthwith</w:t>
      </w:r>
      <w:r w:rsidR="005F64AB">
        <w:rPr>
          <w:lang w:val="en-CA"/>
        </w:rPr>
        <w:t>”</w:t>
      </w:r>
      <w:r w:rsidRPr="00EF7404">
        <w:rPr>
          <w:lang w:val="en-CA"/>
        </w:rPr>
        <w:t xml:space="preserve">, in the context of s. 254(2) of the </w:t>
      </w:r>
      <w:r w:rsidRPr="00EF7404">
        <w:rPr>
          <w:i/>
          <w:iCs/>
          <w:lang w:val="en-CA"/>
        </w:rPr>
        <w:t>Criminal Code</w:t>
      </w:r>
      <w:r w:rsidRPr="00EF7404">
        <w:rPr>
          <w:lang w:val="en-CA"/>
        </w:rPr>
        <w:t xml:space="preserve">, may </w:t>
      </w:r>
      <w:r w:rsidRPr="00EF7404">
        <w:rPr>
          <w:u w:val="single"/>
          <w:lang w:val="en-CA"/>
        </w:rPr>
        <w:t>in unusual circumstances</w:t>
      </w:r>
      <w:r w:rsidRPr="00EF7404">
        <w:rPr>
          <w:lang w:val="en-CA"/>
        </w:rPr>
        <w:t xml:space="preserve"> be given a more flexible interpretation than its ordinary meaning strictly suggests. </w:t>
      </w:r>
      <w:r w:rsidRPr="00EF7404">
        <w:rPr>
          <w:u w:val="single"/>
          <w:lang w:val="en-CA"/>
        </w:rPr>
        <w:t>For example, a brief and unavoidable delay of 15 minutes can thus be justified when this is in accordance with the exigencies of the use of the equipment</w:t>
      </w:r>
      <w:r w:rsidRPr="00EF7404">
        <w:rPr>
          <w:lang w:val="en-CA"/>
        </w:rPr>
        <w:t xml:space="preserve">: see </w:t>
      </w:r>
      <w:r w:rsidRPr="00EF7404">
        <w:rPr>
          <w:i/>
          <w:iCs/>
          <w:lang w:val="en-CA"/>
        </w:rPr>
        <w:t>Bernshaw</w:t>
      </w:r>
      <w:r w:rsidRPr="00EF7404">
        <w:rPr>
          <w:lang w:val="en-CA"/>
        </w:rPr>
        <w:t>.</w:t>
      </w:r>
    </w:p>
    <w:p w14:paraId="56BC77C9" w14:textId="77777777" w:rsidR="00B92B76" w:rsidRPr="00EF7404" w:rsidRDefault="004A6BD6" w:rsidP="002D323C">
      <w:pPr>
        <w:pStyle w:val="Citationenretrait"/>
        <w:ind w:left="6480" w:firstLine="324"/>
        <w:rPr>
          <w:lang w:val="en-CA"/>
        </w:rPr>
      </w:pPr>
      <w:r w:rsidRPr="00EF7404">
        <w:rPr>
          <w:lang w:val="en-CA"/>
        </w:rPr>
        <w:t>[Emphasis added]</w:t>
      </w:r>
    </w:p>
    <w:p w14:paraId="174C355C" w14:textId="08299818" w:rsidR="00B92B76" w:rsidRPr="00EF7404" w:rsidRDefault="004A6BD6" w:rsidP="002D323C">
      <w:pPr>
        <w:pStyle w:val="Paragraphe"/>
        <w:spacing w:line="280" w:lineRule="exact"/>
        <w:rPr>
          <w:lang w:val="en-CA"/>
        </w:rPr>
      </w:pPr>
      <w:r w:rsidRPr="00EF7404">
        <w:rPr>
          <w:lang w:val="en-CA"/>
        </w:rPr>
        <w:t xml:space="preserve">Fish, J. accepted the ordinary meaning of the word </w:t>
      </w:r>
      <w:r w:rsidR="005F64AB">
        <w:rPr>
          <w:lang w:val="en-CA"/>
        </w:rPr>
        <w:t>“</w:t>
      </w:r>
      <w:r w:rsidRPr="00EF7404">
        <w:rPr>
          <w:lang w:val="en-CA"/>
        </w:rPr>
        <w:t>forthwith</w:t>
      </w:r>
      <w:r w:rsidR="005F64AB">
        <w:rPr>
          <w:lang w:val="en-CA"/>
        </w:rPr>
        <w:t>”</w:t>
      </w:r>
      <w:r w:rsidR="00D040FD">
        <w:rPr>
          <w:lang w:val="en-CA"/>
        </w:rPr>
        <w:t>—i</w:t>
      </w:r>
      <w:r w:rsidRPr="00EF7404">
        <w:rPr>
          <w:lang w:val="en-CA"/>
        </w:rPr>
        <w:t xml:space="preserve">.e., </w:t>
      </w:r>
      <w:r w:rsidR="005F64AB">
        <w:rPr>
          <w:lang w:val="en-CA"/>
        </w:rPr>
        <w:t>“</w:t>
      </w:r>
      <w:r w:rsidRPr="00EF7404">
        <w:rPr>
          <w:lang w:val="en-CA"/>
        </w:rPr>
        <w:t>immediately</w:t>
      </w:r>
      <w:r w:rsidR="005F64AB">
        <w:rPr>
          <w:lang w:val="en-CA"/>
        </w:rPr>
        <w:t>”</w:t>
      </w:r>
      <w:r w:rsidR="005D4412">
        <w:rPr>
          <w:lang w:val="en-CA"/>
        </w:rPr>
        <w:t>—</w:t>
      </w:r>
      <w:r w:rsidRPr="00EF7404">
        <w:rPr>
          <w:lang w:val="en-CA"/>
        </w:rPr>
        <w:t xml:space="preserve">as the Supreme Court did in </w:t>
      </w:r>
      <w:r w:rsidRPr="00EF7404">
        <w:rPr>
          <w:i/>
          <w:iCs/>
          <w:lang w:val="en-CA"/>
        </w:rPr>
        <w:t>R. v. Grant</w:t>
      </w:r>
      <w:r w:rsidRPr="00EF7404">
        <w:rPr>
          <w:lang w:val="en-CA"/>
        </w:rPr>
        <w:t xml:space="preserve">, which was cited at para. 33 of </w:t>
      </w:r>
      <w:r w:rsidRPr="00EF7404">
        <w:rPr>
          <w:i/>
          <w:iCs/>
          <w:lang w:val="en-CA"/>
        </w:rPr>
        <w:t>Woods</w:t>
      </w:r>
      <w:r w:rsidRPr="00EF7404">
        <w:rPr>
          <w:lang w:val="en-CA"/>
        </w:rPr>
        <w:t xml:space="preserve">. </w:t>
      </w:r>
      <w:r w:rsidR="00746BCE">
        <w:rPr>
          <w:lang w:val="en-CA"/>
        </w:rPr>
        <w:t>Clearly,</w:t>
      </w:r>
      <w:r w:rsidRPr="00EF7404">
        <w:rPr>
          <w:lang w:val="en-CA"/>
        </w:rPr>
        <w:t xml:space="preserve"> Parliament</w:t>
      </w:r>
      <w:r w:rsidR="005F64AB">
        <w:rPr>
          <w:lang w:val="en-CA"/>
        </w:rPr>
        <w:t>’</w:t>
      </w:r>
      <w:r w:rsidRPr="00EF7404">
        <w:rPr>
          <w:lang w:val="en-CA"/>
        </w:rPr>
        <w:t xml:space="preserve">s use of the word </w:t>
      </w:r>
      <w:r w:rsidR="005F64AB">
        <w:rPr>
          <w:lang w:val="en-CA"/>
        </w:rPr>
        <w:t>“</w:t>
      </w:r>
      <w:r w:rsidRPr="00EF7404">
        <w:rPr>
          <w:lang w:val="en-CA"/>
        </w:rPr>
        <w:t>forthwith</w:t>
      </w:r>
      <w:r w:rsidR="005F64AB">
        <w:rPr>
          <w:lang w:val="en-CA"/>
        </w:rPr>
        <w:t>”</w:t>
      </w:r>
      <w:r w:rsidRPr="00EF7404">
        <w:rPr>
          <w:lang w:val="en-CA"/>
        </w:rPr>
        <w:t xml:space="preserve"> is not insignificant and should be understood in its ordinary sense, except where there are </w:t>
      </w:r>
      <w:r w:rsidR="005F64AB">
        <w:rPr>
          <w:lang w:val="en-CA"/>
        </w:rPr>
        <w:t>“</w:t>
      </w:r>
      <w:r w:rsidRPr="00EF7404">
        <w:rPr>
          <w:lang w:val="en-CA"/>
        </w:rPr>
        <w:t>unusual</w:t>
      </w:r>
      <w:r w:rsidR="005F64AB">
        <w:rPr>
          <w:lang w:val="en-CA"/>
        </w:rPr>
        <w:t>”</w:t>
      </w:r>
      <w:r w:rsidRPr="00EF7404">
        <w:rPr>
          <w:lang w:val="en-CA"/>
        </w:rPr>
        <w:t xml:space="preserve"> circumstances, such as a requirement stated by the manufacturer or particular circumstances leading to the police officer</w:t>
      </w:r>
      <w:r w:rsidR="005F64AB">
        <w:rPr>
          <w:lang w:val="en-CA"/>
        </w:rPr>
        <w:t>’</w:t>
      </w:r>
      <w:r w:rsidRPr="00EF7404">
        <w:rPr>
          <w:lang w:val="en-CA"/>
        </w:rPr>
        <w:t>s reasonable conclusion that a short delay is called for to ensure that the test is reliable, that the analysis is, in the words of s. 254(2)(</w:t>
      </w:r>
      <w:r w:rsidRPr="00EF7404">
        <w:rPr>
          <w:i/>
          <w:iCs/>
          <w:lang w:val="en-CA"/>
        </w:rPr>
        <w:t>b</w:t>
      </w:r>
      <w:r w:rsidRPr="00EF7404">
        <w:rPr>
          <w:lang w:val="en-CA"/>
        </w:rPr>
        <w:t xml:space="preserve">) </w:t>
      </w:r>
      <w:r w:rsidRPr="00EF7404">
        <w:rPr>
          <w:i/>
          <w:iCs/>
          <w:lang w:val="en-CA"/>
        </w:rPr>
        <w:t>Cr.C</w:t>
      </w:r>
      <w:r w:rsidRPr="00EF7404">
        <w:rPr>
          <w:lang w:val="en-CA"/>
        </w:rPr>
        <w:t xml:space="preserve">., </w:t>
      </w:r>
      <w:r w:rsidR="005F64AB">
        <w:rPr>
          <w:lang w:val="en-CA"/>
        </w:rPr>
        <w:t>“</w:t>
      </w:r>
      <w:r w:rsidRPr="00EF7404">
        <w:rPr>
          <w:lang w:val="en-CA"/>
        </w:rPr>
        <w:t>proper</w:t>
      </w:r>
      <w:r w:rsidR="005F64AB">
        <w:rPr>
          <w:lang w:val="en-CA"/>
        </w:rPr>
        <w:t>”</w:t>
      </w:r>
      <w:r w:rsidRPr="00EF7404">
        <w:rPr>
          <w:i/>
          <w:iCs/>
          <w:lang w:val="en-CA"/>
        </w:rPr>
        <w:t>.</w:t>
      </w:r>
    </w:p>
    <w:p w14:paraId="61A7CE01" w14:textId="3EBC8DC9" w:rsidR="00B92B76" w:rsidRPr="00EF7404" w:rsidRDefault="004A6BD6" w:rsidP="002D323C">
      <w:pPr>
        <w:pStyle w:val="Paragraphe"/>
        <w:spacing w:line="280" w:lineRule="exact"/>
        <w:rPr>
          <w:lang w:val="en-CA"/>
        </w:rPr>
      </w:pPr>
      <w:r w:rsidRPr="00EF7404">
        <w:rPr>
          <w:lang w:val="en-CA"/>
        </w:rPr>
        <w:t xml:space="preserve">On this last point, the very text of the provision suggests that Parliament had this possibility in mind because, as I just mentioned, the demand consists in obtaining </w:t>
      </w:r>
      <w:r w:rsidR="00F237E3">
        <w:rPr>
          <w:lang w:val="en-CA"/>
        </w:rPr>
        <w:t xml:space="preserve">a </w:t>
      </w:r>
      <w:r w:rsidRPr="00EF7404">
        <w:rPr>
          <w:lang w:val="en-CA"/>
        </w:rPr>
        <w:t xml:space="preserve">breath sample </w:t>
      </w:r>
      <w:r w:rsidR="005F64AB">
        <w:rPr>
          <w:lang w:val="en-CA"/>
        </w:rPr>
        <w:t>“</w:t>
      </w:r>
      <w:r w:rsidRPr="00EF7404">
        <w:rPr>
          <w:lang w:val="en-CA"/>
        </w:rPr>
        <w:t>that (…) will enable a proper analysis to be made</w:t>
      </w:r>
      <w:r w:rsidR="005F64AB">
        <w:rPr>
          <w:lang w:val="en-CA"/>
        </w:rPr>
        <w:t xml:space="preserve"> </w:t>
      </w:r>
      <w:r w:rsidRPr="00EF7404">
        <w:rPr>
          <w:lang w:val="en-CA"/>
        </w:rPr>
        <w:t xml:space="preserve">/ </w:t>
      </w:r>
      <w:r w:rsidRPr="00EF7404">
        <w:rPr>
          <w:i/>
          <w:iCs/>
          <w:lang w:val="en-CA"/>
        </w:rPr>
        <w:t>nécessaire à la réalisation d</w:t>
      </w:r>
      <w:r w:rsidR="005F64AB">
        <w:rPr>
          <w:i/>
          <w:iCs/>
          <w:lang w:val="en-CA"/>
        </w:rPr>
        <w:t>’</w:t>
      </w:r>
      <w:r w:rsidRPr="00EF7404">
        <w:rPr>
          <w:i/>
          <w:iCs/>
          <w:lang w:val="en-CA"/>
        </w:rPr>
        <w:t>une analyse convenable</w:t>
      </w:r>
      <w:r w:rsidR="005F64AB">
        <w:rPr>
          <w:lang w:val="en-CA"/>
        </w:rPr>
        <w:t>”</w:t>
      </w:r>
      <w:r w:rsidRPr="00EF7404">
        <w:rPr>
          <w:lang w:val="en-CA"/>
        </w:rPr>
        <w:t xml:space="preserve">. In other words, the purpose of the demand is to obtain a breath sample that can lead to a </w:t>
      </w:r>
      <w:r w:rsidR="005F64AB">
        <w:rPr>
          <w:lang w:val="en-CA"/>
        </w:rPr>
        <w:t>“</w:t>
      </w:r>
      <w:r w:rsidRPr="00EF7404">
        <w:rPr>
          <w:lang w:val="en-CA"/>
        </w:rPr>
        <w:t xml:space="preserve">proper analysis / </w:t>
      </w:r>
      <w:r w:rsidRPr="00EF7404">
        <w:rPr>
          <w:i/>
          <w:iCs/>
          <w:lang w:val="en-CA"/>
        </w:rPr>
        <w:t>analyse convenable</w:t>
      </w:r>
      <w:r w:rsidR="005F64AB">
        <w:rPr>
          <w:lang w:val="en-CA"/>
        </w:rPr>
        <w:t>”</w:t>
      </w:r>
      <w:r w:rsidRPr="00EF7404">
        <w:rPr>
          <w:lang w:val="en-CA"/>
        </w:rPr>
        <w:t xml:space="preserve">, which could warrant a short wait if the police officer witnesses a circumstance that could call into question the value of the test. </w:t>
      </w:r>
    </w:p>
    <w:p w14:paraId="7D96F66B" w14:textId="50FCEC50" w:rsidR="00B92B76" w:rsidRPr="00EF7404" w:rsidRDefault="004A6BD6" w:rsidP="002D323C">
      <w:pPr>
        <w:pStyle w:val="Paragraphe"/>
        <w:spacing w:line="280" w:lineRule="exact"/>
        <w:rPr>
          <w:lang w:val="en-CA"/>
        </w:rPr>
      </w:pPr>
      <w:r w:rsidRPr="00EF7404">
        <w:rPr>
          <w:lang w:val="en-CA"/>
        </w:rPr>
        <w:t xml:space="preserve">In short, the word </w:t>
      </w:r>
      <w:r w:rsidR="005F64AB">
        <w:rPr>
          <w:lang w:val="en-CA"/>
        </w:rPr>
        <w:t>“</w:t>
      </w:r>
      <w:r w:rsidRPr="00EF7404">
        <w:rPr>
          <w:lang w:val="en-CA"/>
        </w:rPr>
        <w:t>forthwith</w:t>
      </w:r>
      <w:r w:rsidR="005F64AB">
        <w:rPr>
          <w:lang w:val="en-CA"/>
        </w:rPr>
        <w:t>”</w:t>
      </w:r>
      <w:r w:rsidRPr="00EF7404">
        <w:rPr>
          <w:lang w:val="en-CA"/>
        </w:rPr>
        <w:t xml:space="preserve"> has a well-known meaning, which cannot be disregarded for the purpose of administrative convenience, but can be, for a short period of time, if the value of the test is at stake (given the text of the provision), or if the short delay involves only the operation of the device (as in </w:t>
      </w:r>
      <w:r w:rsidRPr="00EF7404">
        <w:rPr>
          <w:i/>
          <w:iCs/>
          <w:lang w:val="en-CA"/>
        </w:rPr>
        <w:t>R. v. Anderson</w:t>
      </w:r>
      <w:r w:rsidRPr="00EF7404">
        <w:rPr>
          <w:lang w:val="en-CA"/>
        </w:rPr>
        <w:t xml:space="preserve">, 2014 SKCA 32) or results from a defect. If such a defect cannot be anticipated, it would fall within the scope of the unusual circumstances referred to in </w:t>
      </w:r>
      <w:r w:rsidRPr="00EF7404">
        <w:rPr>
          <w:i/>
          <w:iCs/>
          <w:lang w:val="en-CA"/>
        </w:rPr>
        <w:t>Woods</w:t>
      </w:r>
      <w:r w:rsidRPr="00EF7404">
        <w:rPr>
          <w:lang w:val="en-CA"/>
        </w:rPr>
        <w:t xml:space="preserve"> and </w:t>
      </w:r>
      <w:r w:rsidRPr="00EF7404">
        <w:rPr>
          <w:i/>
          <w:iCs/>
          <w:lang w:val="en-CA"/>
        </w:rPr>
        <w:t>Bernshaw</w:t>
      </w:r>
      <w:r w:rsidRPr="00EF7404">
        <w:rPr>
          <w:lang w:val="en-CA"/>
        </w:rPr>
        <w:t xml:space="preserve">. In other words, faced with a defective device, the conclusion should not be that nothing can be done and that the driver should quite simply be released if he does not show other symptoms. Perhaps, in such circumstances, he should be given access to counsel, but that is another matter. </w:t>
      </w:r>
    </w:p>
    <w:p w14:paraId="237862F4" w14:textId="4EF40876" w:rsidR="00B92B76" w:rsidRPr="00EF7404" w:rsidRDefault="004A6BD6" w:rsidP="002D323C">
      <w:pPr>
        <w:pStyle w:val="Paragraphe"/>
        <w:spacing w:line="280" w:lineRule="exact"/>
        <w:rPr>
          <w:lang w:val="en-CA"/>
        </w:rPr>
      </w:pPr>
      <w:r w:rsidRPr="00EF7404">
        <w:rPr>
          <w:lang w:val="en-CA"/>
        </w:rPr>
        <w:t xml:space="preserve">In </w:t>
      </w:r>
      <w:r w:rsidR="009352B3">
        <w:rPr>
          <w:lang w:val="en-CA"/>
        </w:rPr>
        <w:t>a nutshell</w:t>
      </w:r>
      <w:r w:rsidRPr="00EF7404">
        <w:rPr>
          <w:lang w:val="en-CA"/>
        </w:rPr>
        <w:t>, unusual circumstances directly related to the operation of the device or the reliability of the test result can warrant a short delay, but the mere need to wait for the arrival of an ASD must not be considered to be such a circumstance.</w:t>
      </w:r>
    </w:p>
    <w:p w14:paraId="5C78FCB0" w14:textId="62983348" w:rsidR="00B92B76" w:rsidRPr="00EF7404" w:rsidRDefault="004A6BD6" w:rsidP="002D323C">
      <w:pPr>
        <w:pStyle w:val="Paragraphe"/>
        <w:spacing w:line="280" w:lineRule="exact"/>
        <w:rPr>
          <w:lang w:val="en-CA"/>
        </w:rPr>
      </w:pPr>
      <w:r w:rsidRPr="00EF7404">
        <w:rPr>
          <w:lang w:val="en-CA"/>
        </w:rPr>
        <w:t xml:space="preserve">In </w:t>
      </w:r>
      <w:r w:rsidRPr="00EF7404">
        <w:rPr>
          <w:i/>
          <w:iCs/>
          <w:lang w:val="en-CA"/>
        </w:rPr>
        <w:t>Woods</w:t>
      </w:r>
      <w:r w:rsidRPr="00EF7404">
        <w:rPr>
          <w:lang w:val="en-CA"/>
        </w:rPr>
        <w:t xml:space="preserve">, Fish, J. confirmed the opinion of Arbour, J.A. (as she then was), who pointed out the necessary link between the concept of </w:t>
      </w:r>
      <w:r w:rsidR="005F64AB">
        <w:rPr>
          <w:lang w:val="en-CA"/>
        </w:rPr>
        <w:t>“</w:t>
      </w:r>
      <w:r w:rsidRPr="00EF7404">
        <w:rPr>
          <w:lang w:val="en-CA"/>
        </w:rPr>
        <w:t>immediacy</w:t>
      </w:r>
      <w:r w:rsidR="005F64AB">
        <w:rPr>
          <w:lang w:val="en-CA"/>
        </w:rPr>
        <w:t>”</w:t>
      </w:r>
      <w:r w:rsidRPr="00EF7404">
        <w:rPr>
          <w:lang w:val="en-CA"/>
        </w:rPr>
        <w:t xml:space="preserve"> and the right to counsel:</w:t>
      </w:r>
    </w:p>
    <w:p w14:paraId="2882C1CF" w14:textId="7BD339AF" w:rsidR="00B92B76" w:rsidRPr="00EF7404" w:rsidRDefault="004A6BD6" w:rsidP="002D323C">
      <w:pPr>
        <w:pStyle w:val="Citationenretrait"/>
        <w:tabs>
          <w:tab w:val="left" w:pos="1440"/>
        </w:tabs>
        <w:rPr>
          <w:rFonts w:ascii="Times New Roman" w:hAnsi="Times New Roman"/>
          <w:lang w:val="en-CA" w:eastAsia="en-US"/>
        </w:rPr>
      </w:pPr>
      <w:bookmarkStart w:id="18" w:name="par34"/>
      <w:r w:rsidRPr="00EF7404">
        <w:rPr>
          <w:lang w:val="en-CA"/>
        </w:rPr>
        <w:t>34</w:t>
      </w:r>
      <w:bookmarkEnd w:id="18"/>
      <w:r w:rsidRPr="00EF7404">
        <w:rPr>
          <w:sz w:val="14"/>
          <w:szCs w:val="14"/>
          <w:lang w:val="en-CA"/>
        </w:rPr>
        <w:tab/>
      </w:r>
      <w:r w:rsidRPr="00EF7404">
        <w:rPr>
          <w:lang w:val="en-CA"/>
        </w:rPr>
        <w:t xml:space="preserve">In </w:t>
      </w:r>
      <w:r w:rsidRPr="00EF7404">
        <w:rPr>
          <w:i/>
          <w:iCs/>
          <w:lang w:val="en-CA"/>
        </w:rPr>
        <w:t xml:space="preserve">R. v. Cote </w:t>
      </w:r>
      <w:r w:rsidRPr="00EF7404">
        <w:rPr>
          <w:lang w:val="en-CA"/>
        </w:rPr>
        <w:t>(1992), 70 C.C.C. (3d) 280 (Ont. C.A.), the police officer likewise had no screening device in his car. He drove the accused to a police station nine minutes away and was not ready until five minutes later to take a breath sample. The accused refused to comply with the officer</w:t>
      </w:r>
      <w:r w:rsidR="005F64AB">
        <w:rPr>
          <w:lang w:val="en-CA"/>
        </w:rPr>
        <w:t>’</w:t>
      </w:r>
      <w:r w:rsidRPr="00EF7404">
        <w:rPr>
          <w:lang w:val="en-CA"/>
        </w:rPr>
        <w:t xml:space="preserve">s demand and was charged pursuant to s. 238(5) (now s. 254(5)) of the </w:t>
      </w:r>
      <w:r w:rsidRPr="00EF7404">
        <w:rPr>
          <w:i/>
          <w:iCs/>
          <w:lang w:val="en-CA"/>
        </w:rPr>
        <w:t>Criminal Code</w:t>
      </w:r>
      <w:r w:rsidRPr="00EF7404">
        <w:rPr>
          <w:lang w:val="en-CA"/>
        </w:rPr>
        <w:t>. The Ontario Court of Appeal set aside his conviction and entered an acquittal instead.</w:t>
      </w:r>
    </w:p>
    <w:p w14:paraId="3B51DBD2" w14:textId="77777777" w:rsidR="00B92B76" w:rsidRPr="00EF7404" w:rsidRDefault="004A6BD6" w:rsidP="002D323C">
      <w:pPr>
        <w:pStyle w:val="Citationenretrait"/>
        <w:tabs>
          <w:tab w:val="left" w:pos="1440"/>
        </w:tabs>
        <w:rPr>
          <w:lang w:val="en-CA"/>
        </w:rPr>
      </w:pPr>
      <w:bookmarkStart w:id="19" w:name="par35"/>
      <w:r w:rsidRPr="00EF7404">
        <w:rPr>
          <w:lang w:val="en-CA"/>
        </w:rPr>
        <w:t>35</w:t>
      </w:r>
      <w:bookmarkEnd w:id="19"/>
      <w:r w:rsidRPr="00EF7404">
        <w:rPr>
          <w:sz w:val="14"/>
          <w:szCs w:val="14"/>
          <w:lang w:val="en-CA"/>
        </w:rPr>
        <w:tab/>
      </w:r>
      <w:r w:rsidRPr="00EF7404">
        <w:rPr>
          <w:lang w:val="en-CA"/>
        </w:rPr>
        <w:t xml:space="preserve">Speaking for a unanimous court, Arbour J.A. (as she then was) cited the passage I have reproduced from </w:t>
      </w:r>
      <w:r w:rsidRPr="00EF7404">
        <w:rPr>
          <w:i/>
          <w:iCs/>
          <w:lang w:val="en-CA"/>
        </w:rPr>
        <w:t>Grant</w:t>
      </w:r>
      <w:r w:rsidRPr="00EF7404">
        <w:rPr>
          <w:lang w:val="en-CA"/>
        </w:rPr>
        <w:t>, and explained:</w:t>
      </w:r>
    </w:p>
    <w:p w14:paraId="4E6AD4EA" w14:textId="03F43424" w:rsidR="00B92B76" w:rsidRPr="00EF7404" w:rsidRDefault="004A6BD6" w:rsidP="002D323C">
      <w:pPr>
        <w:pStyle w:val="Citationenretrait"/>
        <w:ind w:left="1440" w:right="1532" w:firstLine="360"/>
        <w:rPr>
          <w:lang w:val="en-CA"/>
        </w:rPr>
      </w:pPr>
      <w:r>
        <w:rPr>
          <w:lang w:val="en-CA"/>
        </w:rPr>
        <w:t xml:space="preserve"> </w:t>
      </w:r>
      <w:r w:rsidR="0094427C" w:rsidRPr="00EF7404">
        <w:rPr>
          <w:lang w:val="en-CA"/>
        </w:rPr>
        <w:t xml:space="preserve">If the accused must be taken to a detachment, </w:t>
      </w:r>
      <w:r w:rsidR="0094427C" w:rsidRPr="00EF7404">
        <w:rPr>
          <w:u w:val="single"/>
          <w:lang w:val="en-CA"/>
        </w:rPr>
        <w:t xml:space="preserve">where contact with counsel could more easily be accommodated than at the side of the road, a large component of the rationale in </w:t>
      </w:r>
      <w:r w:rsidR="0094427C" w:rsidRPr="00EF7404">
        <w:rPr>
          <w:i/>
          <w:iCs/>
          <w:u w:val="single"/>
          <w:lang w:val="en-CA"/>
        </w:rPr>
        <w:t xml:space="preserve">Thomsen </w:t>
      </w:r>
      <w:r w:rsidR="0094427C" w:rsidRPr="00EF7404">
        <w:rPr>
          <w:u w:val="single"/>
          <w:lang w:val="en-CA"/>
        </w:rPr>
        <w:t>disappears</w:t>
      </w:r>
      <w:r w:rsidR="0094427C" w:rsidRPr="00EF7404">
        <w:rPr>
          <w:lang w:val="en-CA"/>
        </w:rPr>
        <w:t xml:space="preserve">. In other words, if the police officer is not in a position to require that a breath sample be provided by the accused </w:t>
      </w:r>
      <w:r w:rsidR="0094427C" w:rsidRPr="00EF7404">
        <w:rPr>
          <w:u w:val="single"/>
          <w:lang w:val="en-CA"/>
        </w:rPr>
        <w:t>before any realistic opportunity to consult counsel, then the officer</w:t>
      </w:r>
      <w:r>
        <w:rPr>
          <w:u w:val="single"/>
          <w:lang w:val="en-CA"/>
        </w:rPr>
        <w:t>’</w:t>
      </w:r>
      <w:r w:rsidR="0094427C" w:rsidRPr="00EF7404">
        <w:rPr>
          <w:u w:val="single"/>
          <w:lang w:val="en-CA"/>
        </w:rPr>
        <w:t>s demand is not a demand made under s. 238(2)</w:t>
      </w:r>
      <w:r w:rsidR="0094427C" w:rsidRPr="00EF7404">
        <w:rPr>
          <w:lang w:val="en-CA"/>
        </w:rPr>
        <w:t>.</w:t>
      </w:r>
      <w:r>
        <w:rPr>
          <w:lang w:val="en-CA"/>
        </w:rPr>
        <w:t xml:space="preserve"> </w:t>
      </w:r>
      <w:r w:rsidR="0094427C" w:rsidRPr="00EF7404">
        <w:rPr>
          <w:lang w:val="en-CA"/>
        </w:rPr>
        <w:t xml:space="preserve">The issue is thus not strictly one of computing the number of minutes that fall within or without the scope of the word </w:t>
      </w:r>
      <w:r>
        <w:rPr>
          <w:lang w:val="en-CA"/>
        </w:rPr>
        <w:t>“</w:t>
      </w:r>
      <w:r w:rsidR="0094427C" w:rsidRPr="00EF7404">
        <w:rPr>
          <w:lang w:val="en-CA"/>
        </w:rPr>
        <w:t>forthwith</w:t>
      </w:r>
      <w:r>
        <w:rPr>
          <w:lang w:val="en-CA"/>
        </w:rPr>
        <w:t>”</w:t>
      </w:r>
      <w:r w:rsidR="0094427C" w:rsidRPr="00EF7404">
        <w:rPr>
          <w:lang w:val="en-CA"/>
        </w:rPr>
        <w:t>.</w:t>
      </w:r>
      <w:r>
        <w:rPr>
          <w:lang w:val="en-CA"/>
        </w:rPr>
        <w:t xml:space="preserve"> </w:t>
      </w:r>
      <w:r w:rsidR="0094427C" w:rsidRPr="00EF7404">
        <w:rPr>
          <w:lang w:val="en-CA"/>
        </w:rPr>
        <w:t xml:space="preserve">Here, the officer was ready to collect the breath sample in less than half the time it took in </w:t>
      </w:r>
      <w:r w:rsidR="0094427C" w:rsidRPr="00EF7404">
        <w:rPr>
          <w:i/>
          <w:iCs/>
          <w:lang w:val="en-CA"/>
        </w:rPr>
        <w:t>Grant</w:t>
      </w:r>
      <w:r w:rsidR="0094427C" w:rsidRPr="00EF7404">
        <w:rPr>
          <w:lang w:val="en-CA"/>
        </w:rPr>
        <w:t>. However, in view of the circumstances, particularly the wait at the police detachment, I conclude that the demand was not made within s. 238(2).</w:t>
      </w:r>
      <w:r>
        <w:rPr>
          <w:lang w:val="en-CA"/>
        </w:rPr>
        <w:t xml:space="preserve"> </w:t>
      </w:r>
      <w:r w:rsidR="0094427C" w:rsidRPr="00EF7404">
        <w:rPr>
          <w:lang w:val="en-CA"/>
        </w:rPr>
        <w:t>As the demand did not comply with s.</w:t>
      </w:r>
      <w:r w:rsidR="00134023">
        <w:rPr>
          <w:lang w:val="en-CA"/>
        </w:rPr>
        <w:t> </w:t>
      </w:r>
      <w:r w:rsidR="0094427C" w:rsidRPr="00EF7404">
        <w:rPr>
          <w:lang w:val="en-CA"/>
        </w:rPr>
        <w:t>238(2), the appellant was not required to comply with the demand and his refusal to do so did not constitute an offence.</w:t>
      </w:r>
      <w:r>
        <w:rPr>
          <w:lang w:val="en-CA"/>
        </w:rPr>
        <w:t xml:space="preserve"> </w:t>
      </w:r>
      <w:r w:rsidR="0094427C" w:rsidRPr="00EF7404">
        <w:rPr>
          <w:lang w:val="en-CA"/>
        </w:rPr>
        <w:t>[Emphasis added; p. 285.]</w:t>
      </w:r>
    </w:p>
    <w:p w14:paraId="7376F5BD" w14:textId="6C263580" w:rsidR="00B92B76" w:rsidRPr="00EF7404" w:rsidRDefault="004A6BD6" w:rsidP="002D323C">
      <w:pPr>
        <w:pStyle w:val="Citationenretrait"/>
        <w:rPr>
          <w:lang w:val="en-CA"/>
        </w:rPr>
      </w:pPr>
      <w:bookmarkStart w:id="20" w:name="par36"/>
      <w:r w:rsidRPr="00EF7404">
        <w:rPr>
          <w:lang w:val="en-CA"/>
        </w:rPr>
        <w:t>36</w:t>
      </w:r>
      <w:bookmarkEnd w:id="20"/>
      <w:r w:rsidRPr="00EF7404">
        <w:rPr>
          <w:sz w:val="14"/>
          <w:szCs w:val="14"/>
          <w:lang w:val="en-CA"/>
        </w:rPr>
        <w:tab/>
      </w:r>
      <w:r w:rsidRPr="00EF7404">
        <w:rPr>
          <w:lang w:val="en-CA"/>
        </w:rPr>
        <w:t xml:space="preserve">It is for these reasons that we are prohibited on constitutional grounds from expanding the meaning of </w:t>
      </w:r>
      <w:r w:rsidR="005F64AB">
        <w:rPr>
          <w:lang w:val="en-CA"/>
        </w:rPr>
        <w:t>“</w:t>
      </w:r>
      <w:r w:rsidRPr="00EF7404">
        <w:rPr>
          <w:lang w:val="en-CA"/>
        </w:rPr>
        <w:t>forthwith</w:t>
      </w:r>
      <w:r w:rsidR="005F64AB">
        <w:rPr>
          <w:lang w:val="en-CA"/>
        </w:rPr>
        <w:t>”</w:t>
      </w:r>
      <w:r w:rsidRPr="00EF7404">
        <w:rPr>
          <w:lang w:val="en-CA"/>
        </w:rPr>
        <w:t xml:space="preserve"> in s. 254(2) to cover the delays that occurred in this case.</w:t>
      </w:r>
    </w:p>
    <w:p w14:paraId="35BE409B" w14:textId="77777777" w:rsidR="00B92B76" w:rsidRPr="00EF7404" w:rsidRDefault="004A6BD6" w:rsidP="002D323C">
      <w:pPr>
        <w:pStyle w:val="Paragraphe"/>
        <w:spacing w:line="280" w:lineRule="exact"/>
        <w:rPr>
          <w:lang w:val="en-CA"/>
        </w:rPr>
      </w:pPr>
      <w:r w:rsidRPr="00EF7404">
        <w:rPr>
          <w:lang w:val="en-CA"/>
        </w:rPr>
        <w:t>For the demand to be valid, the police officer must therefore be in a position to demand that the accused provide a breath sample forthwith, before the accused even has the time, realistically speaking, to contact counsel, which means that the police officer must have immediate access to an ASD.</w:t>
      </w:r>
    </w:p>
    <w:p w14:paraId="5EC15858" w14:textId="4A80FA88" w:rsidR="00B92B76" w:rsidRPr="00EF7404" w:rsidRDefault="004A6BD6" w:rsidP="002D323C">
      <w:pPr>
        <w:pStyle w:val="Paragraphe"/>
        <w:spacing w:line="280" w:lineRule="exact"/>
        <w:rPr>
          <w:lang w:val="en-CA"/>
        </w:rPr>
      </w:pPr>
      <w:r w:rsidRPr="00EF7404">
        <w:rPr>
          <w:lang w:val="en-CA"/>
        </w:rPr>
        <w:t xml:space="preserve">In this regard, I note that when the respondent cites the following remarks from </w:t>
      </w:r>
      <w:r w:rsidRPr="00EF7404">
        <w:rPr>
          <w:i/>
          <w:iCs/>
          <w:lang w:val="en-CA"/>
        </w:rPr>
        <w:t>Bernshaw</w:t>
      </w:r>
      <w:r w:rsidRPr="00EF7404">
        <w:rPr>
          <w:lang w:val="en-CA"/>
        </w:rPr>
        <w:t xml:space="preserve"> ([1995] 1 S.C.R. 254, p. 294): </w:t>
      </w:r>
      <w:r w:rsidR="005F64AB">
        <w:rPr>
          <w:lang w:val="en-CA"/>
        </w:rPr>
        <w:t>“</w:t>
      </w:r>
      <w:r w:rsidRPr="00EF7404">
        <w:rPr>
          <w:lang w:val="en-CA"/>
        </w:rPr>
        <w:t xml:space="preserve">[…] Thus, the wording of the provision adds support to the argument that </w:t>
      </w:r>
      <w:r w:rsidR="005F64AB">
        <w:rPr>
          <w:lang w:val="en-CA"/>
        </w:rPr>
        <w:t>‘</w:t>
      </w:r>
      <w:r w:rsidRPr="00EF7404">
        <w:rPr>
          <w:lang w:val="en-CA"/>
        </w:rPr>
        <w:t>forthwith</w:t>
      </w:r>
      <w:r w:rsidR="005F64AB">
        <w:rPr>
          <w:lang w:val="en-CA"/>
        </w:rPr>
        <w:t>’</w:t>
      </w:r>
      <w:r w:rsidRPr="00EF7404">
        <w:rPr>
          <w:lang w:val="en-CA"/>
        </w:rPr>
        <w:t xml:space="preserve"> must be given a flexible interpretation</w:t>
      </w:r>
      <w:r w:rsidR="005F64AB">
        <w:rPr>
          <w:lang w:val="en-CA"/>
        </w:rPr>
        <w:t>”</w:t>
      </w:r>
      <w:r w:rsidRPr="00EF7404">
        <w:rPr>
          <w:lang w:val="en-CA"/>
        </w:rPr>
        <w:t>, it fails to put this excerpt in</w:t>
      </w:r>
      <w:r w:rsidR="00BA38F0">
        <w:rPr>
          <w:lang w:val="en-CA"/>
        </w:rPr>
        <w:t>to</w:t>
      </w:r>
      <w:r w:rsidRPr="00EF7404">
        <w:rPr>
          <w:lang w:val="en-CA"/>
        </w:rPr>
        <w:t xml:space="preserve"> context.</w:t>
      </w:r>
    </w:p>
    <w:p w14:paraId="3A67003C" w14:textId="511808C0" w:rsidR="00B92B76" w:rsidRPr="00EF7404" w:rsidRDefault="004A6BD6" w:rsidP="002D323C">
      <w:pPr>
        <w:pStyle w:val="Paragraphe"/>
        <w:spacing w:line="280" w:lineRule="exact"/>
        <w:rPr>
          <w:lang w:val="en-CA"/>
        </w:rPr>
      </w:pPr>
      <w:r w:rsidRPr="00EF7404">
        <w:rPr>
          <w:lang w:val="en-CA"/>
        </w:rPr>
        <w:t xml:space="preserve">In </w:t>
      </w:r>
      <w:r w:rsidRPr="00EF7404">
        <w:rPr>
          <w:i/>
          <w:iCs/>
          <w:lang w:val="en-CA"/>
        </w:rPr>
        <w:t>Bernshaw</w:t>
      </w:r>
      <w:r w:rsidRPr="00EF7404">
        <w:rPr>
          <w:lang w:val="en-CA"/>
        </w:rPr>
        <w:t>, the police officers had not waited a certain amount of time before administering the test, although the manufacturer</w:t>
      </w:r>
      <w:r w:rsidR="005F64AB">
        <w:rPr>
          <w:lang w:val="en-CA"/>
        </w:rPr>
        <w:t>’</w:t>
      </w:r>
      <w:r w:rsidRPr="00EF7404">
        <w:rPr>
          <w:lang w:val="en-CA"/>
        </w:rPr>
        <w:t xml:space="preserve">s operation manual recommended a waiting period if the subject had recently had a drink, or regurgitated or vomited, to ensure that any mouth alcohol had dispersed. Bernshaw reproached them for not having waited as required and added that, during the waiting period, he had the right to consult counsel, which should have resulted in the evidence being excluded. It was therefore in a very specific situation, where the reliability of the test could be at stake, that Sopinka, J. </w:t>
      </w:r>
      <w:r w:rsidR="00685653">
        <w:rPr>
          <w:lang w:val="en-CA"/>
        </w:rPr>
        <w:t xml:space="preserve">spoke </w:t>
      </w:r>
      <w:r w:rsidRPr="00EF7404">
        <w:rPr>
          <w:lang w:val="en-CA"/>
        </w:rPr>
        <w:t xml:space="preserve">for the majority. The full passage, drawn from his opinion, </w:t>
      </w:r>
      <w:r w:rsidR="002D6BDF">
        <w:rPr>
          <w:lang w:val="en-CA"/>
        </w:rPr>
        <w:t>demonstrates this (p. 294)</w:t>
      </w:r>
      <w:r w:rsidRPr="00EF7404">
        <w:rPr>
          <w:lang w:val="en-CA"/>
        </w:rPr>
        <w:t>:</w:t>
      </w:r>
    </w:p>
    <w:p w14:paraId="1C80D697" w14:textId="2C036D17" w:rsidR="00B92B76" w:rsidRPr="00EF7404" w:rsidRDefault="004A6BD6" w:rsidP="00AF4A35">
      <w:pPr>
        <w:pStyle w:val="Citationenretrait"/>
        <w:spacing w:line="240" w:lineRule="auto"/>
        <w:rPr>
          <w:lang w:val="en-CA"/>
        </w:rPr>
      </w:pPr>
      <w:r w:rsidRPr="00EF7404">
        <w:rPr>
          <w:lang w:val="en-CA"/>
        </w:rPr>
        <w:t xml:space="preserve">Accordingly, it appears that courts are willing to give a broad interpretation to the meaning of </w:t>
      </w:r>
      <w:r w:rsidR="005F64AB">
        <w:rPr>
          <w:lang w:val="en-CA"/>
        </w:rPr>
        <w:t>“</w:t>
      </w:r>
      <w:r w:rsidRPr="00EF7404">
        <w:rPr>
          <w:lang w:val="en-CA"/>
        </w:rPr>
        <w:t>forthwith</w:t>
      </w:r>
      <w:r w:rsidR="005F64AB">
        <w:rPr>
          <w:lang w:val="en-CA"/>
        </w:rPr>
        <w:t>”</w:t>
      </w:r>
      <w:r w:rsidRPr="00EF7404">
        <w:rPr>
          <w:lang w:val="en-CA"/>
        </w:rPr>
        <w:t xml:space="preserve"> as set out in the </w:t>
      </w:r>
      <w:r w:rsidRPr="00EF7404">
        <w:rPr>
          <w:i/>
          <w:iCs/>
          <w:lang w:val="en-CA"/>
        </w:rPr>
        <w:t xml:space="preserve">Grant </w:t>
      </w:r>
      <w:r w:rsidRPr="00EF7404">
        <w:rPr>
          <w:lang w:val="en-CA"/>
        </w:rPr>
        <w:t>decision.</w:t>
      </w:r>
      <w:r w:rsidR="005F64AB">
        <w:rPr>
          <w:lang w:val="en-CA"/>
        </w:rPr>
        <w:t xml:space="preserve"> </w:t>
      </w:r>
      <w:r w:rsidRPr="00EF7404">
        <w:rPr>
          <w:lang w:val="en-CA"/>
        </w:rPr>
        <w:t>In my view this is appropriate given the wording and context of the legislation.</w:t>
      </w:r>
      <w:r w:rsidR="005F64AB">
        <w:rPr>
          <w:lang w:val="en-CA"/>
        </w:rPr>
        <w:t xml:space="preserve"> </w:t>
      </w:r>
      <w:r w:rsidRPr="00EF7404">
        <w:rPr>
          <w:lang w:val="en-CA"/>
        </w:rPr>
        <w:t xml:space="preserve">The relevant portion of s. 254(2) of the </w:t>
      </w:r>
      <w:r w:rsidRPr="00EF7404">
        <w:rPr>
          <w:i/>
          <w:iCs/>
          <w:lang w:val="en-CA"/>
        </w:rPr>
        <w:t xml:space="preserve">Code </w:t>
      </w:r>
      <w:r w:rsidRPr="00EF7404">
        <w:rPr>
          <w:lang w:val="en-CA"/>
        </w:rPr>
        <w:t>reads as follows:</w:t>
      </w:r>
    </w:p>
    <w:p w14:paraId="15B51BB3" w14:textId="77777777" w:rsidR="00B92B76" w:rsidRPr="00EF7404" w:rsidRDefault="004A6BD6" w:rsidP="00AF4A35">
      <w:pPr>
        <w:pStyle w:val="Citationenretrait"/>
        <w:spacing w:line="240" w:lineRule="auto"/>
        <w:ind w:left="1440" w:right="1440"/>
        <w:rPr>
          <w:sz w:val="20"/>
          <w:lang w:val="en-CA"/>
        </w:rPr>
      </w:pPr>
      <w:r w:rsidRPr="00EF7404">
        <w:rPr>
          <w:sz w:val="20"/>
          <w:lang w:val="en-CA"/>
        </w:rPr>
        <w:t xml:space="preserve">... the peace officer may, by demand made to that person, require the person to provide forthwith such a sample of breath </w:t>
      </w:r>
      <w:r w:rsidRPr="00EF7404">
        <w:rPr>
          <w:sz w:val="20"/>
          <w:u w:val="single"/>
          <w:lang w:val="en-CA"/>
        </w:rPr>
        <w:t>as in the opinion of the peace officer is necessary to enable a proper analysis of the breath to be made by means of an approved screening device</w:t>
      </w:r>
      <w:r w:rsidRPr="00EF7404">
        <w:rPr>
          <w:sz w:val="20"/>
          <w:lang w:val="en-CA"/>
        </w:rPr>
        <w:t xml:space="preserve"> and, where necessary, to accompany the peace officer for the purpose of enabling such a sample of breath to be taken. [Emphasis added.]</w:t>
      </w:r>
    </w:p>
    <w:p w14:paraId="5FF46862" w14:textId="00DC1329" w:rsidR="00B92B76" w:rsidRPr="00EF7404" w:rsidRDefault="004A6BD6" w:rsidP="00AF4A35">
      <w:pPr>
        <w:pStyle w:val="Citationenretrait"/>
        <w:spacing w:line="240" w:lineRule="auto"/>
        <w:rPr>
          <w:lang w:val="en-CA"/>
        </w:rPr>
      </w:pPr>
      <w:r w:rsidRPr="00EF7404">
        <w:rPr>
          <w:lang w:val="en-CA"/>
        </w:rPr>
        <w:t xml:space="preserve">The provision specifically contemplates that the police officer is entitled to demand a breath sample which enables a proper analysis of the breath. In the situation where the officer knows that a suspect has just recently consumed alcohol, a proper sample can only be attained by waiting at least 15 minutes. Thus, the wording of the provision adds support to the argument that </w:t>
      </w:r>
      <w:r w:rsidR="005F64AB">
        <w:rPr>
          <w:lang w:val="en-CA"/>
        </w:rPr>
        <w:t>“</w:t>
      </w:r>
      <w:r w:rsidRPr="00EF7404">
        <w:rPr>
          <w:lang w:val="en-CA"/>
        </w:rPr>
        <w:t>forthwith</w:t>
      </w:r>
      <w:r w:rsidR="005F64AB">
        <w:rPr>
          <w:lang w:val="en-CA"/>
        </w:rPr>
        <w:t>”</w:t>
      </w:r>
      <w:r w:rsidRPr="00EF7404">
        <w:rPr>
          <w:lang w:val="en-CA"/>
        </w:rPr>
        <w:t xml:space="preserve"> must be given a flexible interpretation.</w:t>
      </w:r>
    </w:p>
    <w:p w14:paraId="3E5566F2" w14:textId="4C873174" w:rsidR="00B92B76" w:rsidRPr="00EF7404" w:rsidRDefault="004A6BD6" w:rsidP="002D323C">
      <w:pPr>
        <w:pStyle w:val="Paragraphe"/>
        <w:spacing w:line="280" w:lineRule="exact"/>
        <w:rPr>
          <w:lang w:val="en-CA"/>
        </w:rPr>
      </w:pPr>
      <w:r w:rsidRPr="00EF7404">
        <w:rPr>
          <w:lang w:val="en-CA"/>
        </w:rPr>
        <w:t xml:space="preserve">In short, the passage cited by the respondent does not mean that the word </w:t>
      </w:r>
      <w:r w:rsidR="005F64AB">
        <w:rPr>
          <w:lang w:val="en-CA"/>
        </w:rPr>
        <w:t>“</w:t>
      </w:r>
      <w:r w:rsidRPr="00EF7404">
        <w:rPr>
          <w:lang w:val="en-CA"/>
        </w:rPr>
        <w:t>forthwith</w:t>
      </w:r>
      <w:r w:rsidR="005F64AB">
        <w:rPr>
          <w:lang w:val="en-CA"/>
        </w:rPr>
        <w:t>”</w:t>
      </w:r>
      <w:r w:rsidRPr="00EF7404">
        <w:rPr>
          <w:lang w:val="en-CA"/>
        </w:rPr>
        <w:t xml:space="preserve"> must be given a flexible interpretation in all cases. Sopinka, J. was referring to the specific situation in which the validity of the sample for purposes of analysis was at stake. </w:t>
      </w:r>
    </w:p>
    <w:p w14:paraId="6D5B289B" w14:textId="23F8FDFE" w:rsidR="00B92B76" w:rsidRPr="00EF7404" w:rsidRDefault="004A6BD6" w:rsidP="002D323C">
      <w:pPr>
        <w:pStyle w:val="Paragraphe"/>
        <w:spacing w:line="280" w:lineRule="exact"/>
        <w:rPr>
          <w:lang w:val="en-CA"/>
        </w:rPr>
      </w:pPr>
      <w:r w:rsidRPr="00EF7404">
        <w:rPr>
          <w:lang w:val="en-CA"/>
        </w:rPr>
        <w:t xml:space="preserve">In my view, considering the jurisprudence of the Supreme Court, a delay cannot be justified on the basis of administrative convenience, </w:t>
      </w:r>
      <w:r w:rsidR="007720AC">
        <w:rPr>
          <w:lang w:val="en-CA"/>
        </w:rPr>
        <w:t xml:space="preserve">that is, for </w:t>
      </w:r>
      <w:r w:rsidRPr="00EF7404">
        <w:rPr>
          <w:lang w:val="en-CA"/>
        </w:rPr>
        <w:t xml:space="preserve">practical </w:t>
      </w:r>
      <w:r w:rsidR="007720AC">
        <w:rPr>
          <w:lang w:val="en-CA"/>
        </w:rPr>
        <w:t>reasons</w:t>
      </w:r>
      <w:r w:rsidRPr="00EF7404">
        <w:rPr>
          <w:lang w:val="en-CA"/>
        </w:rPr>
        <w:t xml:space="preserve">. The need to allow time for an ASD to be delivered to the scene of the arrest because the police officers do not have </w:t>
      </w:r>
      <w:r w:rsidR="007F54B3">
        <w:rPr>
          <w:lang w:val="en-CA"/>
        </w:rPr>
        <w:t xml:space="preserve">it </w:t>
      </w:r>
      <w:r w:rsidRPr="00EF7404">
        <w:rPr>
          <w:lang w:val="en-CA"/>
        </w:rPr>
        <w:t xml:space="preserve">in their possession is </w:t>
      </w:r>
      <w:r w:rsidR="007F54B3">
        <w:rPr>
          <w:lang w:val="en-CA"/>
        </w:rPr>
        <w:t xml:space="preserve">one </w:t>
      </w:r>
      <w:r w:rsidRPr="00EF7404">
        <w:rPr>
          <w:lang w:val="en-CA"/>
        </w:rPr>
        <w:t xml:space="preserve">such unjustified practical reason. Since such a delay is not sufficiently short to conclude that the driver could not, in the meantime, contact counsel, the immediacy requirement, which is intimately tied to that right, is not satisfied. </w:t>
      </w:r>
    </w:p>
    <w:p w14:paraId="5D31A237" w14:textId="77777777" w:rsidR="00B92B76" w:rsidRPr="00EF7404" w:rsidRDefault="004A6BD6" w:rsidP="002D323C">
      <w:pPr>
        <w:pStyle w:val="Titre2"/>
        <w:rPr>
          <w:lang w:val="en-CA"/>
        </w:rPr>
      </w:pPr>
      <w:r w:rsidRPr="00EF7404">
        <w:rPr>
          <w:bCs/>
          <w:iCs/>
          <w:lang w:val="en-CA"/>
        </w:rPr>
        <w:t>The immediate and mandatory nature of the response</w:t>
      </w:r>
      <w:r w:rsidRPr="00EF7404">
        <w:rPr>
          <w:b w:val="0"/>
          <w:i w:val="0"/>
          <w:lang w:val="en-CA"/>
        </w:rPr>
        <w:t xml:space="preserve"> </w:t>
      </w:r>
    </w:p>
    <w:p w14:paraId="54290500" w14:textId="139494FA" w:rsidR="00B92B76" w:rsidRPr="00EF7404" w:rsidRDefault="004A6BD6" w:rsidP="002D323C">
      <w:pPr>
        <w:pStyle w:val="Paragraphe"/>
        <w:spacing w:line="280" w:lineRule="exact"/>
        <w:rPr>
          <w:lang w:val="en-CA"/>
        </w:rPr>
      </w:pPr>
      <w:r w:rsidRPr="00EF7404">
        <w:rPr>
          <w:lang w:val="en-CA"/>
        </w:rPr>
        <w:t xml:space="preserve">The jurisprudence places emphasis on the immediacy of the demand (the immediacy requirement regarding the demand is </w:t>
      </w:r>
      <w:r w:rsidRPr="00EF7404">
        <w:rPr>
          <w:u w:val="single"/>
          <w:lang w:val="en-CA"/>
        </w:rPr>
        <w:t>implicit</w:t>
      </w:r>
      <w:r w:rsidRPr="00EF7404">
        <w:rPr>
          <w:lang w:val="en-CA"/>
        </w:rPr>
        <w:t xml:space="preserve"> because of the wording of the provision: </w:t>
      </w:r>
      <w:r w:rsidRPr="00EF7404">
        <w:rPr>
          <w:i/>
          <w:iCs/>
          <w:lang w:val="en-CA"/>
        </w:rPr>
        <w:t>Woods</w:t>
      </w:r>
      <w:r w:rsidRPr="00EF7404">
        <w:rPr>
          <w:lang w:val="en-CA"/>
        </w:rPr>
        <w:t>, para. 14). Less attention is focused, however, on the immediacy of the driver</w:t>
      </w:r>
      <w:r w:rsidR="005F64AB">
        <w:rPr>
          <w:lang w:val="en-CA"/>
        </w:rPr>
        <w:t>’</w:t>
      </w:r>
      <w:r w:rsidRPr="00EF7404">
        <w:rPr>
          <w:lang w:val="en-CA"/>
        </w:rPr>
        <w:t xml:space="preserve">s response, a requirement that is </w:t>
      </w:r>
      <w:r w:rsidRPr="00EF7404">
        <w:rPr>
          <w:u w:val="single"/>
          <w:lang w:val="en-CA"/>
        </w:rPr>
        <w:t>explicit</w:t>
      </w:r>
      <w:r w:rsidRPr="00EF7404">
        <w:rPr>
          <w:lang w:val="en-CA"/>
        </w:rPr>
        <w:t xml:space="preserve"> according to the very text of the provision. Indeed, the provision states that the demand is intended </w:t>
      </w:r>
      <w:r w:rsidR="005F64AB">
        <w:rPr>
          <w:lang w:val="en-CA"/>
        </w:rPr>
        <w:t>“</w:t>
      </w:r>
      <w:r w:rsidRPr="00EF7404">
        <w:rPr>
          <w:lang w:val="en-CA"/>
        </w:rPr>
        <w:t xml:space="preserve">to provide forthwith a sample of breath / </w:t>
      </w:r>
      <w:r w:rsidRPr="00EF7404">
        <w:rPr>
          <w:i/>
          <w:iCs/>
          <w:lang w:val="en-CA"/>
        </w:rPr>
        <w:t>fournir immédiatement l</w:t>
      </w:r>
      <w:r w:rsidR="005F64AB">
        <w:rPr>
          <w:i/>
          <w:iCs/>
          <w:lang w:val="en-CA"/>
        </w:rPr>
        <w:t>’</w:t>
      </w:r>
      <w:r w:rsidRPr="00EF7404">
        <w:rPr>
          <w:i/>
          <w:iCs/>
          <w:lang w:val="en-CA"/>
        </w:rPr>
        <w:t>échantillon d</w:t>
      </w:r>
      <w:r w:rsidR="005F64AB">
        <w:rPr>
          <w:i/>
          <w:iCs/>
          <w:lang w:val="en-CA"/>
        </w:rPr>
        <w:t>’</w:t>
      </w:r>
      <w:r w:rsidRPr="00EF7404">
        <w:rPr>
          <w:i/>
          <w:iCs/>
          <w:lang w:val="en-CA"/>
        </w:rPr>
        <w:t>haleine</w:t>
      </w:r>
      <w:r w:rsidR="005F64AB">
        <w:rPr>
          <w:lang w:val="en-CA"/>
        </w:rPr>
        <w:t>”</w:t>
      </w:r>
      <w:r w:rsidRPr="00EF7404">
        <w:rPr>
          <w:lang w:val="en-CA"/>
        </w:rPr>
        <w:t xml:space="preserve">. Thus, it is not only the demand that must be made forthwith; the driver must also provide a breath sample forthwith after the demand has been made (i.e., an </w:t>
      </w:r>
      <w:r w:rsidR="005F64AB">
        <w:rPr>
          <w:lang w:val="en-CA"/>
        </w:rPr>
        <w:t>“</w:t>
      </w:r>
      <w:r w:rsidRPr="00EF7404">
        <w:rPr>
          <w:lang w:val="en-CA"/>
        </w:rPr>
        <w:t>immediate response</w:t>
      </w:r>
      <w:r w:rsidR="005F64AB">
        <w:rPr>
          <w:lang w:val="en-CA"/>
        </w:rPr>
        <w:t>”</w:t>
      </w:r>
      <w:r w:rsidRPr="00EF7404">
        <w:rPr>
          <w:lang w:val="en-CA"/>
        </w:rPr>
        <w:t xml:space="preserve">, to quote Fish, J. in </w:t>
      </w:r>
      <w:r w:rsidRPr="00EF7404">
        <w:rPr>
          <w:i/>
          <w:iCs/>
          <w:lang w:val="en-CA"/>
        </w:rPr>
        <w:t>Woods</w:t>
      </w:r>
      <w:r w:rsidRPr="00EF7404">
        <w:rPr>
          <w:lang w:val="en-CA"/>
        </w:rPr>
        <w:t xml:space="preserve">, at para. 44). </w:t>
      </w:r>
    </w:p>
    <w:p w14:paraId="44B1B5DB" w14:textId="77777777" w:rsidR="00B92B76" w:rsidRPr="00EF7404" w:rsidRDefault="004A6BD6" w:rsidP="002D323C">
      <w:pPr>
        <w:pStyle w:val="Paragraphe"/>
        <w:spacing w:line="280" w:lineRule="exact"/>
        <w:rPr>
          <w:lang w:val="en-CA"/>
        </w:rPr>
      </w:pPr>
      <w:r w:rsidRPr="00EF7404">
        <w:rPr>
          <w:lang w:val="en-CA"/>
        </w:rPr>
        <w:t>This requirement is important in the present case.</w:t>
      </w:r>
    </w:p>
    <w:p w14:paraId="709A58C4" w14:textId="2234CDF2" w:rsidR="00B92B76" w:rsidRPr="00EF7404" w:rsidRDefault="004A6BD6" w:rsidP="002D323C">
      <w:pPr>
        <w:pStyle w:val="Paragraphe"/>
        <w:spacing w:line="280" w:lineRule="exact"/>
        <w:rPr>
          <w:lang w:val="en-CA"/>
        </w:rPr>
      </w:pPr>
      <w:r w:rsidRPr="00EF7404">
        <w:rPr>
          <w:lang w:val="en-CA"/>
        </w:rPr>
        <w:t xml:space="preserve">To comply with the demand, the appellant had to provide a breath sample forthwith. How could he do so in the absence of an ASD? This was obviously impossible. How could he commit an offence by refusing to do something that he could not do? </w:t>
      </w:r>
      <w:r w:rsidR="00CF282A">
        <w:rPr>
          <w:lang w:val="en-CA"/>
        </w:rPr>
        <w:t xml:space="preserve">This </w:t>
      </w:r>
      <w:r w:rsidRPr="00EF7404">
        <w:rPr>
          <w:lang w:val="en-CA"/>
        </w:rPr>
        <w:t>was just as impossible.</w:t>
      </w:r>
    </w:p>
    <w:p w14:paraId="6C4C389C" w14:textId="77777777" w:rsidR="00B92B76" w:rsidRPr="00EF7404" w:rsidRDefault="004A6BD6" w:rsidP="002D323C">
      <w:pPr>
        <w:pStyle w:val="Paragraphe"/>
        <w:spacing w:line="280" w:lineRule="exact"/>
        <w:rPr>
          <w:lang w:val="en-CA"/>
        </w:rPr>
      </w:pPr>
      <w:r w:rsidRPr="00EF7404">
        <w:rPr>
          <w:lang w:val="en-CA"/>
        </w:rPr>
        <w:t>If a driver has the obligation to provide a breath sample forthwith, it would seem to me that the corollary is that he must be in a position to do so, failing which he cannot be held criminally liable. That said, how can he be in a position to do so if the ASD is not at the scene when the demand is made?</w:t>
      </w:r>
    </w:p>
    <w:p w14:paraId="4324979B" w14:textId="322E3395" w:rsidR="00B92B76" w:rsidRPr="00EF7404" w:rsidRDefault="004A6BD6" w:rsidP="002D323C">
      <w:pPr>
        <w:pStyle w:val="Paragraphe"/>
        <w:spacing w:line="280" w:lineRule="exact"/>
        <w:rPr>
          <w:lang w:val="en-CA"/>
        </w:rPr>
      </w:pPr>
      <w:r w:rsidRPr="00EF7404">
        <w:rPr>
          <w:lang w:val="en-CA"/>
        </w:rPr>
        <w:t>Moreover, it seems illogical to make the legality of the demand conditional on the period of time required for the ASD to be brought to the scene. When deciding whether or not to provide a breath sample, the driver must be in a position to know whether the demand is valid, which will only be possible later, once the ASD arrives. Vagueness in this regard is incompatible with the commission of a criminal offence which requires, as it does here, that the driver know that the demand is valid when refusing. In other words, a refusal w</w:t>
      </w:r>
      <w:r w:rsidR="00060951">
        <w:rPr>
          <w:lang w:val="en-CA"/>
        </w:rPr>
        <w:t>ould</w:t>
      </w:r>
      <w:r w:rsidRPr="00EF7404">
        <w:rPr>
          <w:lang w:val="en-CA"/>
        </w:rPr>
        <w:t xml:space="preserve"> result in culpability if the device arrive</w:t>
      </w:r>
      <w:r w:rsidR="00060951">
        <w:rPr>
          <w:lang w:val="en-CA"/>
        </w:rPr>
        <w:t>d</w:t>
      </w:r>
      <w:r w:rsidRPr="00EF7404">
        <w:rPr>
          <w:lang w:val="en-CA"/>
        </w:rPr>
        <w:t xml:space="preserve"> within a predetermined, theoretical, acceptable period of time, but </w:t>
      </w:r>
      <w:r w:rsidR="00060951" w:rsidRPr="00EF7404">
        <w:rPr>
          <w:lang w:val="en-CA"/>
        </w:rPr>
        <w:t>w</w:t>
      </w:r>
      <w:r w:rsidR="00060951">
        <w:rPr>
          <w:lang w:val="en-CA"/>
        </w:rPr>
        <w:t>ould</w:t>
      </w:r>
      <w:r w:rsidR="00060951" w:rsidRPr="00EF7404">
        <w:rPr>
          <w:lang w:val="en-CA"/>
        </w:rPr>
        <w:t xml:space="preserve"> </w:t>
      </w:r>
      <w:r w:rsidRPr="00EF7404">
        <w:rPr>
          <w:lang w:val="en-CA"/>
        </w:rPr>
        <w:t xml:space="preserve">not </w:t>
      </w:r>
      <w:r w:rsidR="00060951">
        <w:rPr>
          <w:lang w:val="en-CA"/>
        </w:rPr>
        <w:t>should</w:t>
      </w:r>
      <w:r w:rsidRPr="00EF7404">
        <w:rPr>
          <w:lang w:val="en-CA"/>
        </w:rPr>
        <w:t xml:space="preserve"> the device arrive later. Such uncertainty cannot be tolerated. Yet, this is the result </w:t>
      </w:r>
      <w:r w:rsidRPr="00EF7404">
        <w:rPr>
          <w:i/>
          <w:iCs/>
          <w:lang w:val="en-CA"/>
        </w:rPr>
        <w:t>Petit</w:t>
      </w:r>
      <w:r w:rsidRPr="00EF7404">
        <w:rPr>
          <w:lang w:val="en-CA"/>
        </w:rPr>
        <w:t xml:space="preserve"> leads to, even if, in that case, there was no refusal to provide a breath sample. </w:t>
      </w:r>
    </w:p>
    <w:p w14:paraId="6DD8F48A" w14:textId="77777777" w:rsidR="00B92B76" w:rsidRPr="00EF7404" w:rsidRDefault="004A6BD6" w:rsidP="002D323C">
      <w:pPr>
        <w:pStyle w:val="Paragraphe"/>
        <w:spacing w:line="280" w:lineRule="exact"/>
        <w:rPr>
          <w:lang w:val="en-CA"/>
        </w:rPr>
      </w:pPr>
      <w:r w:rsidRPr="00EF7404">
        <w:rPr>
          <w:lang w:val="en-CA"/>
        </w:rPr>
        <w:t xml:space="preserve">As my colleague, Vauclair, J.A., noted in </w:t>
      </w:r>
      <w:r w:rsidRPr="00EF7404">
        <w:rPr>
          <w:i/>
          <w:iCs/>
          <w:lang w:val="en-CA"/>
        </w:rPr>
        <w:t>Piazza</w:t>
      </w:r>
      <w:r w:rsidRPr="00EF7404">
        <w:rPr>
          <w:lang w:val="en-CA"/>
        </w:rPr>
        <w:t xml:space="preserve">: </w:t>
      </w:r>
    </w:p>
    <w:p w14:paraId="372A4D2A" w14:textId="77777777" w:rsidR="00EF7404" w:rsidRDefault="004A6BD6" w:rsidP="003A3C7E">
      <w:pPr>
        <w:pStyle w:val="Citationenretrait"/>
        <w:spacing w:after="60"/>
        <w:rPr>
          <w:lang w:val="en-CA"/>
        </w:rPr>
      </w:pPr>
      <w:r w:rsidRPr="00EF7404">
        <w:rPr>
          <w:lang w:val="en-CA"/>
        </w:rPr>
        <w:t>[</w:t>
      </w:r>
      <w:r w:rsidRPr="00EF7404">
        <w:rPr>
          <w:smallCaps/>
          <w:lang w:val="en-CA"/>
        </w:rPr>
        <w:t>translation</w:t>
      </w:r>
      <w:r w:rsidRPr="00EF7404">
        <w:rPr>
          <w:lang w:val="en-CA"/>
        </w:rPr>
        <w:t>]</w:t>
      </w:r>
    </w:p>
    <w:p w14:paraId="6CDF27FC" w14:textId="5ECD7A21" w:rsidR="00B92B76" w:rsidRPr="00EF7404" w:rsidRDefault="004A6BD6" w:rsidP="002D323C">
      <w:pPr>
        <w:pStyle w:val="Citationenretrait"/>
        <w:rPr>
          <w:lang w:val="en-CA"/>
        </w:rPr>
      </w:pPr>
      <w:r w:rsidRPr="00EF7404">
        <w:rPr>
          <w:lang w:val="en-CA"/>
        </w:rPr>
        <w:t>[110]</w:t>
      </w:r>
      <w:r w:rsidRPr="00EF7404">
        <w:rPr>
          <w:lang w:val="en-CA"/>
        </w:rPr>
        <w:tab/>
        <w:t>Nor does authorizing a delay for the device to be brought to the scene allow us to determine as of what moment the demand is no longer valid and no longer meets the immediacy requirement; is it 2 minutes, 5 or 10, why not 30 seconds more or even 11 minutes? Is a delay of more than 15 minutes acceptable? Is there a maximum delay? Why? Conceptually, what is the difference between the 30</w:t>
      </w:r>
      <w:r w:rsidR="00134023">
        <w:rPr>
          <w:lang w:val="en-CA"/>
        </w:rPr>
        <w:noBreakHyphen/>
      </w:r>
      <w:r w:rsidRPr="00EF7404">
        <w:rPr>
          <w:lang w:val="en-CA"/>
        </w:rPr>
        <w:t xml:space="preserve">minute delay rejected in </w:t>
      </w:r>
      <w:r w:rsidRPr="00EF7404">
        <w:rPr>
          <w:i/>
          <w:iCs/>
          <w:lang w:val="en-CA"/>
        </w:rPr>
        <w:t>Grant</w:t>
      </w:r>
      <w:r w:rsidRPr="00EF7404">
        <w:rPr>
          <w:lang w:val="en-CA"/>
        </w:rPr>
        <w:t xml:space="preserve">, the 15-minute delay rejected in </w:t>
      </w:r>
      <w:r w:rsidRPr="00EF7404">
        <w:rPr>
          <w:i/>
          <w:iCs/>
          <w:lang w:val="en-CA"/>
        </w:rPr>
        <w:t>Bernshaw</w:t>
      </w:r>
      <w:r w:rsidRPr="00EF7404">
        <w:rPr>
          <w:lang w:val="en-CA"/>
        </w:rPr>
        <w:t xml:space="preserve"> and the 10-minute delay in </w:t>
      </w:r>
      <w:r w:rsidRPr="00EF7404">
        <w:rPr>
          <w:i/>
          <w:iCs/>
          <w:lang w:val="en-CA"/>
        </w:rPr>
        <w:t xml:space="preserve">Petit? </w:t>
      </w:r>
      <w:r w:rsidRPr="00EF7404">
        <w:rPr>
          <w:lang w:val="en-CA"/>
        </w:rPr>
        <w:t xml:space="preserve">None of these questions have a sufficiently rational answer to support the legislative provision that suspends the </w:t>
      </w:r>
      <w:r w:rsidR="002D6BDF">
        <w:rPr>
          <w:lang w:val="en-CA"/>
        </w:rPr>
        <w:t>constitutional right at issue</w:t>
      </w:r>
      <w:r w:rsidRPr="00EF7404">
        <w:rPr>
          <w:lang w:val="en-CA"/>
        </w:rPr>
        <w:t>.</w:t>
      </w:r>
    </w:p>
    <w:p w14:paraId="480DE5AF" w14:textId="77777777" w:rsidR="00B92B76" w:rsidRPr="00EF7404" w:rsidRDefault="004A6BD6" w:rsidP="002D323C">
      <w:pPr>
        <w:pStyle w:val="Paragraphe"/>
        <w:spacing w:line="280" w:lineRule="exact"/>
        <w:rPr>
          <w:lang w:val="en-CA"/>
        </w:rPr>
      </w:pPr>
      <w:r w:rsidRPr="00EF7404">
        <w:rPr>
          <w:lang w:val="en-CA"/>
        </w:rPr>
        <w:t xml:space="preserve">I am entirely in agreement with his opinion and his concerns. One can hardly quantify the acceptable delay in a theoretical manner, particularly where the answer involves a constitutional right such as the right to counsel. </w:t>
      </w:r>
    </w:p>
    <w:p w14:paraId="58313D38" w14:textId="07082F61" w:rsidR="00B92B76" w:rsidRPr="00EF7404" w:rsidRDefault="004A6BD6" w:rsidP="002D323C">
      <w:pPr>
        <w:pStyle w:val="Paragraphe"/>
        <w:spacing w:line="280" w:lineRule="exact"/>
        <w:rPr>
          <w:lang w:val="en-CA"/>
        </w:rPr>
      </w:pPr>
      <w:r w:rsidRPr="00EF7404">
        <w:rPr>
          <w:lang w:val="en-CA"/>
        </w:rPr>
        <w:t>Indeed, what should we conclude when the device never arrives at the scene</w:t>
      </w:r>
      <w:r w:rsidR="00B17537">
        <w:rPr>
          <w:lang w:val="en-CA"/>
        </w:rPr>
        <w:t xml:space="preserve"> because the police officers have cancelled the request due to the driver’s refusal</w:t>
      </w:r>
      <w:r w:rsidRPr="00EF7404">
        <w:rPr>
          <w:lang w:val="en-CA"/>
        </w:rPr>
        <w:t xml:space="preserve">, as was the case here? It would be impossible to know whether the demand was, would have been or even could have been valid, because we would never know whether the acceptable delay (say, 15 minutes) would have been satisfied. Such a solution is untenable. In fact, in the present case, the ASD had not yet even been delivered 20 minutes after the demand, when the police officers cancelled the request for an ASD. Should we conclude from this that the demand was invalid because it exceeded the 10 or 15 minutes in </w:t>
      </w:r>
      <w:r w:rsidRPr="00EF7404">
        <w:rPr>
          <w:i/>
          <w:iCs/>
          <w:lang w:val="en-CA"/>
        </w:rPr>
        <w:t>Petit</w:t>
      </w:r>
      <w:r w:rsidRPr="00EF7404">
        <w:rPr>
          <w:lang w:val="en-CA"/>
        </w:rPr>
        <w:t xml:space="preserve">, such that the refusal did not result in culpability? This is an exercise that cannot be justified. </w:t>
      </w:r>
    </w:p>
    <w:p w14:paraId="74067498" w14:textId="77777777" w:rsidR="00B92B76" w:rsidRPr="00EF7404" w:rsidRDefault="004A6BD6" w:rsidP="002D323C">
      <w:pPr>
        <w:pStyle w:val="Paragraphe"/>
        <w:spacing w:line="280" w:lineRule="exact"/>
        <w:rPr>
          <w:lang w:val="en-CA"/>
        </w:rPr>
      </w:pPr>
      <w:r w:rsidRPr="00EF7404">
        <w:rPr>
          <w:lang w:val="en-CA"/>
        </w:rPr>
        <w:t>The respondent argues that the Crown does not have to prove that the police officer was in a position to take the breath sample with the ASD at the moment the driver refused to comply with the demand, because the offence is committed as soon as there is a refusal. Yet, it seems quite difficult to commit the offence of not complying or failing to comply with a demand if, in fact, one cannot comply, as is the case when the ASD is not there. How can someone be accused of refusing or failing to comply, when they are not even in a position to do so? If the ASD does not arrive at the scene immediately after the demand is made, it follows that there was no possibility for the driver to comply forthwith.</w:t>
      </w:r>
    </w:p>
    <w:p w14:paraId="36B3D099" w14:textId="77777777" w:rsidR="00B92B76" w:rsidRPr="00EF7404" w:rsidRDefault="004A6BD6" w:rsidP="002D323C">
      <w:pPr>
        <w:pStyle w:val="Paragraphe"/>
        <w:spacing w:line="280" w:lineRule="exact"/>
        <w:rPr>
          <w:lang w:val="en-CA"/>
        </w:rPr>
      </w:pPr>
      <w:r w:rsidRPr="00EF7404">
        <w:rPr>
          <w:lang w:val="en-CA"/>
        </w:rPr>
        <w:t xml:space="preserve">To overcome this obstacle, the respondent turns to </w:t>
      </w:r>
      <w:r w:rsidRPr="00EF7404">
        <w:rPr>
          <w:i/>
          <w:iCs/>
          <w:lang w:val="en-CA"/>
        </w:rPr>
        <w:t>R. v. Degiorgio</w:t>
      </w:r>
      <w:r w:rsidRPr="00EF7404">
        <w:rPr>
          <w:lang w:val="en-CA"/>
        </w:rPr>
        <w:t>, 2011 ONCA 527, in which LaForme, J.A. wrote:</w:t>
      </w:r>
    </w:p>
    <w:p w14:paraId="2B564E48" w14:textId="0BD32D31" w:rsidR="00B92B76" w:rsidRPr="00EF7404" w:rsidRDefault="004A6BD6" w:rsidP="002D323C">
      <w:pPr>
        <w:pStyle w:val="Citationenretrait"/>
        <w:rPr>
          <w:lang w:val="en-CA"/>
        </w:rPr>
      </w:pPr>
      <w:r w:rsidRPr="00EF7404">
        <w:rPr>
          <w:lang w:val="en-CA"/>
        </w:rPr>
        <w:t xml:space="preserve">[42] </w:t>
      </w:r>
      <w:r w:rsidRPr="00EF7404">
        <w:rPr>
          <w:lang w:val="en-CA"/>
        </w:rPr>
        <w:tab/>
        <w:t xml:space="preserve">The conduct criminalized by s. 254(2) consists of a proper s. 254(2) demand and an unequivocal refusal to comply with that demand. The offence is completed when the refusal is given: </w:t>
      </w:r>
      <w:r w:rsidRPr="00EF7404">
        <w:rPr>
          <w:i/>
          <w:iCs/>
          <w:lang w:val="en-CA"/>
        </w:rPr>
        <w:t>R. v. Woods</w:t>
      </w:r>
      <w:r w:rsidRPr="00EF7404">
        <w:rPr>
          <w:lang w:val="en-CA"/>
        </w:rPr>
        <w:t>, [2005] 2 S.C.R. 205 at paras.</w:t>
      </w:r>
      <w:r w:rsidR="00134023">
        <w:rPr>
          <w:lang w:val="en-CA"/>
        </w:rPr>
        <w:t> </w:t>
      </w:r>
      <w:r w:rsidRPr="00EF7404">
        <w:rPr>
          <w:lang w:val="en-CA"/>
        </w:rPr>
        <w:t xml:space="preserve">40-42. There is nothing in the language of s. 254(2) that would require the Crown to prove that had the driver not refused to provide the sample, the demanding police officer could have complied with his or her obligation to take the sample </w:t>
      </w:r>
      <w:r w:rsidR="005F64AB">
        <w:rPr>
          <w:lang w:val="en-CA"/>
        </w:rPr>
        <w:t>“</w:t>
      </w:r>
      <w:r w:rsidRPr="00EF7404">
        <w:rPr>
          <w:lang w:val="en-CA"/>
        </w:rPr>
        <w:t>forthwith</w:t>
      </w:r>
      <w:r w:rsidR="005F64AB">
        <w:rPr>
          <w:lang w:val="en-CA"/>
        </w:rPr>
        <w:t>”</w:t>
      </w:r>
      <w:r w:rsidRPr="00EF7404">
        <w:rPr>
          <w:lang w:val="en-CA"/>
        </w:rPr>
        <w:t>. Nor can I understand why, as a matter of criminal law policy, a driver who has unequivocally refused to forthwith provide a breath sample should escape criminal responsibility for that refusal based on events subsequent and totally unrelated to the refusal. How is the culpability of the person who refuses to comply with a demand reduced because, as events may have developed, the officer may not have been able to take the sample forthwith?</w:t>
      </w:r>
    </w:p>
    <w:p w14:paraId="2905EBB0" w14:textId="3F79652D" w:rsidR="00B92B76" w:rsidRPr="00EF7404" w:rsidRDefault="004A6BD6" w:rsidP="002D323C">
      <w:pPr>
        <w:pStyle w:val="Paragraphe"/>
        <w:spacing w:line="280" w:lineRule="exact"/>
        <w:rPr>
          <w:lang w:val="en-CA"/>
        </w:rPr>
      </w:pPr>
      <w:r w:rsidRPr="00EF7404">
        <w:rPr>
          <w:lang w:val="en-CA"/>
        </w:rPr>
        <w:t xml:space="preserve">The virtue of this approach is its simplicity. However, I find it very difficult to follow this line of reasoning, for three reasons. First, </w:t>
      </w:r>
      <w:r w:rsidR="00A31D1F">
        <w:rPr>
          <w:lang w:val="en-CA"/>
        </w:rPr>
        <w:t xml:space="preserve">I do not see how </w:t>
      </w:r>
      <w:r w:rsidRPr="00EF7404">
        <w:rPr>
          <w:lang w:val="en-CA"/>
        </w:rPr>
        <w:t xml:space="preserve">the Court </w:t>
      </w:r>
      <w:r w:rsidR="00A31D1F" w:rsidRPr="00EF7404">
        <w:rPr>
          <w:lang w:val="en-CA"/>
        </w:rPr>
        <w:t xml:space="preserve">could </w:t>
      </w:r>
      <w:r w:rsidRPr="00EF7404">
        <w:rPr>
          <w:lang w:val="en-CA"/>
        </w:rPr>
        <w:t>come to this conclusion when the very wording of the police officer</w:t>
      </w:r>
      <w:r w:rsidR="005F64AB">
        <w:rPr>
          <w:lang w:val="en-CA"/>
        </w:rPr>
        <w:t>’</w:t>
      </w:r>
      <w:r w:rsidRPr="00EF7404">
        <w:rPr>
          <w:lang w:val="en-CA"/>
        </w:rPr>
        <w:t xml:space="preserve">s demand stated the contrary: </w:t>
      </w:r>
      <w:r w:rsidR="005F64AB">
        <w:rPr>
          <w:lang w:val="en-CA"/>
        </w:rPr>
        <w:t>“</w:t>
      </w:r>
      <w:r w:rsidRPr="00EF7404">
        <w:rPr>
          <w:i/>
          <w:iCs/>
          <w:lang w:val="en-CA"/>
        </w:rPr>
        <w:t>I demand that you provide a suitable sample of your breath directly into an approved screening device forthwith to enable a proper analysis of your breath to be made and that you accompany me for the purpose of enabling a sample to be taken</w:t>
      </w:r>
      <w:r w:rsidR="005F64AB">
        <w:rPr>
          <w:lang w:val="en-CA"/>
        </w:rPr>
        <w:t>”</w:t>
      </w:r>
      <w:r w:rsidRPr="00EF7404">
        <w:rPr>
          <w:i/>
          <w:iCs/>
          <w:lang w:val="en-CA"/>
        </w:rPr>
        <w:t>.</w:t>
      </w:r>
      <w:r w:rsidRPr="00EF7404">
        <w:rPr>
          <w:lang w:val="en-CA"/>
        </w:rPr>
        <w:t xml:space="preserve"> The demand complied with the law and required the driver to provide a breath sample forthwith, not when the ASD was to be delivered. At the risk of repeating myself, I do not see how the person in question could provide a breath sample forthwith without a device. </w:t>
      </w:r>
    </w:p>
    <w:p w14:paraId="632F7602" w14:textId="77777777" w:rsidR="00B92B76" w:rsidRPr="00EF7404" w:rsidRDefault="004A6BD6" w:rsidP="002D323C">
      <w:pPr>
        <w:pStyle w:val="Paragraphe"/>
        <w:spacing w:line="280" w:lineRule="exact"/>
        <w:rPr>
          <w:lang w:val="en-CA"/>
        </w:rPr>
      </w:pPr>
      <w:r w:rsidRPr="00EF7404">
        <w:rPr>
          <w:lang w:val="en-CA"/>
        </w:rPr>
        <w:t>Later on, at para. 66 of the judgment, the Ontario Court of Appeal indicated that the appellant had brought up the very situation that is before us, that is, how to determine the validity of the demand if the request for delivery of the device is cancelled. The Court did not reply to the argument, simply reiterating that the offence had already been committed, such that what occurred subsequently was irrelevant. The lack of a response leaves me wanting.</w:t>
      </w:r>
    </w:p>
    <w:p w14:paraId="2ECF17F9" w14:textId="77777777" w:rsidR="00B92B76" w:rsidRPr="00EF7404" w:rsidRDefault="004A6BD6" w:rsidP="002D323C">
      <w:pPr>
        <w:pStyle w:val="Paragraphe"/>
        <w:spacing w:line="280" w:lineRule="exact"/>
        <w:rPr>
          <w:lang w:val="en-CA"/>
        </w:rPr>
      </w:pPr>
      <w:r w:rsidRPr="00EF7404">
        <w:rPr>
          <w:lang w:val="en-CA"/>
        </w:rPr>
        <w:t xml:space="preserve">Lastly, even though the Ontario Court of Appeal mentioned that the appellant was relying on </w:t>
      </w:r>
      <w:r w:rsidRPr="00EF7404">
        <w:rPr>
          <w:i/>
          <w:iCs/>
          <w:lang w:val="en-CA"/>
        </w:rPr>
        <w:t>R. v. George</w:t>
      </w:r>
      <w:r w:rsidRPr="00EF7404">
        <w:rPr>
          <w:lang w:val="en-CA"/>
        </w:rPr>
        <w:t xml:space="preserve">, 2004 CanLII 6210, 187 C.C.C. (3d) 289 (Ont. C.A.), it did not comment further. Yet, in </w:t>
      </w:r>
      <w:r w:rsidRPr="00EF7404">
        <w:rPr>
          <w:i/>
          <w:iCs/>
          <w:lang w:val="en-CA"/>
        </w:rPr>
        <w:t>George</w:t>
      </w:r>
      <w:r w:rsidRPr="00EF7404">
        <w:rPr>
          <w:lang w:val="en-CA"/>
        </w:rPr>
        <w:t>, Gillese, J.A. noted the following:</w:t>
      </w:r>
    </w:p>
    <w:p w14:paraId="59D77EDA" w14:textId="791ED23F" w:rsidR="00B92B76" w:rsidRPr="00EF7404" w:rsidRDefault="004A6BD6" w:rsidP="002D323C">
      <w:pPr>
        <w:pStyle w:val="Citationenretrait"/>
        <w:rPr>
          <w:lang w:val="en-CA" w:eastAsia="fr-CA"/>
        </w:rPr>
      </w:pPr>
      <w:r w:rsidRPr="00EF7404">
        <w:rPr>
          <w:lang w:val="en-CA" w:eastAsia="fr-CA"/>
        </w:rPr>
        <w:t>[28]</w:t>
      </w:r>
      <w:r w:rsidRPr="00EF7404">
        <w:rPr>
          <w:lang w:val="en-CA" w:eastAsia="fr-CA"/>
        </w:rPr>
        <w:tab/>
        <w:t xml:space="preserve">It is also accepted that </w:t>
      </w:r>
      <w:r w:rsidRPr="00EF7404">
        <w:rPr>
          <w:u w:val="single"/>
          <w:lang w:val="en-CA" w:eastAsia="fr-CA"/>
        </w:rPr>
        <w:t xml:space="preserve">if a roadside demand is made and a sample is not provided </w:t>
      </w:r>
      <w:r w:rsidR="005F64AB">
        <w:rPr>
          <w:u w:val="single"/>
          <w:lang w:val="en-CA" w:eastAsia="fr-CA"/>
        </w:rPr>
        <w:t>“</w:t>
      </w:r>
      <w:r w:rsidRPr="00EF7404">
        <w:rPr>
          <w:u w:val="single"/>
          <w:lang w:val="en-CA" w:eastAsia="fr-CA"/>
        </w:rPr>
        <w:t>forthwith</w:t>
      </w:r>
      <w:r w:rsidR="005F64AB">
        <w:rPr>
          <w:u w:val="single"/>
          <w:lang w:val="en-CA" w:eastAsia="fr-CA"/>
        </w:rPr>
        <w:t>”</w:t>
      </w:r>
      <w:r w:rsidRPr="00EF7404">
        <w:rPr>
          <w:u w:val="single"/>
          <w:lang w:val="en-CA" w:eastAsia="fr-CA"/>
        </w:rPr>
        <w:t xml:space="preserve"> because the approved screening device is not readily available, the demand is not valid</w:t>
      </w:r>
      <w:r w:rsidRPr="00EF7404">
        <w:rPr>
          <w:lang w:val="en-CA" w:eastAsia="fr-CA"/>
        </w:rPr>
        <w:t xml:space="preserve"> and does not justify a failure to provide s. 10(b) rights. See </w:t>
      </w:r>
      <w:r w:rsidRPr="00EF7404">
        <w:rPr>
          <w:i/>
          <w:iCs/>
          <w:lang w:val="en-CA" w:eastAsia="fr-CA"/>
        </w:rPr>
        <w:t>R. v. Grant</w:t>
      </w:r>
      <w:r w:rsidRPr="00EF7404">
        <w:rPr>
          <w:lang w:val="en-CA" w:eastAsia="fr-CA"/>
        </w:rPr>
        <w:t xml:space="preserve"> (1991), 67 C.C.C. (3d) 268 (S.C.C.).</w:t>
      </w:r>
    </w:p>
    <w:p w14:paraId="3B2A5167" w14:textId="77777777" w:rsidR="00B92B76" w:rsidRPr="00EF7404" w:rsidRDefault="004A6BD6" w:rsidP="002D323C">
      <w:pPr>
        <w:pStyle w:val="Citationenretrait"/>
        <w:rPr>
          <w:lang w:val="en-CA" w:eastAsia="fr-CA"/>
        </w:rPr>
      </w:pPr>
      <w:r w:rsidRPr="00EF7404">
        <w:rPr>
          <w:lang w:val="en-CA" w:eastAsia="fr-CA"/>
        </w:rPr>
        <w:t>[…]</w:t>
      </w:r>
    </w:p>
    <w:p w14:paraId="6181BEF2" w14:textId="50BB7D8E" w:rsidR="00B92B76" w:rsidRPr="00EF7404" w:rsidRDefault="004A6BD6" w:rsidP="002D323C">
      <w:pPr>
        <w:pStyle w:val="Citationenretrait"/>
        <w:rPr>
          <w:u w:val="single"/>
          <w:lang w:val="en-CA" w:eastAsia="fr-CA"/>
        </w:rPr>
      </w:pPr>
      <w:r w:rsidRPr="00EF7404">
        <w:rPr>
          <w:lang w:val="en-CA" w:eastAsia="fr-CA"/>
        </w:rPr>
        <w:t>[34]</w:t>
      </w:r>
      <w:r w:rsidRPr="00EF7404">
        <w:rPr>
          <w:lang w:val="en-CA" w:eastAsia="fr-CA"/>
        </w:rPr>
        <w:tab/>
        <w:t>A conclusion that the demand was not made within s. 254(2) is also consonant with the Supreme Court</w:t>
      </w:r>
      <w:r w:rsidR="005F64AB">
        <w:rPr>
          <w:lang w:val="en-CA" w:eastAsia="fr-CA"/>
        </w:rPr>
        <w:t>’</w:t>
      </w:r>
      <w:r w:rsidRPr="00EF7404">
        <w:rPr>
          <w:lang w:val="en-CA" w:eastAsia="fr-CA"/>
        </w:rPr>
        <w:t xml:space="preserve">s admonition in </w:t>
      </w:r>
      <w:r w:rsidRPr="00EF7404">
        <w:rPr>
          <w:i/>
          <w:iCs/>
          <w:lang w:val="en-CA" w:eastAsia="fr-CA"/>
        </w:rPr>
        <w:t xml:space="preserve">Grant </w:t>
      </w:r>
      <w:r w:rsidRPr="00EF7404">
        <w:rPr>
          <w:lang w:val="en-CA" w:eastAsia="fr-CA"/>
        </w:rPr>
        <w:t xml:space="preserve">that a demand that a detainee provide a sample </w:t>
      </w:r>
      <w:r w:rsidR="005F64AB">
        <w:rPr>
          <w:lang w:val="en-CA" w:eastAsia="fr-CA"/>
        </w:rPr>
        <w:t>“</w:t>
      </w:r>
      <w:r w:rsidRPr="00EF7404">
        <w:rPr>
          <w:lang w:val="en-CA" w:eastAsia="fr-CA"/>
        </w:rPr>
        <w:t>forthwith</w:t>
      </w:r>
      <w:r w:rsidR="005F64AB">
        <w:rPr>
          <w:lang w:val="en-CA" w:eastAsia="fr-CA"/>
        </w:rPr>
        <w:t>”</w:t>
      </w:r>
      <w:r w:rsidRPr="00EF7404">
        <w:rPr>
          <w:lang w:val="en-CA" w:eastAsia="fr-CA"/>
        </w:rPr>
        <w:t xml:space="preserve"> must be a demand that the detainee provide a sample after </w:t>
      </w:r>
      <w:r w:rsidR="005F64AB">
        <w:rPr>
          <w:lang w:val="en-CA" w:eastAsia="fr-CA"/>
        </w:rPr>
        <w:t>“</w:t>
      </w:r>
      <w:r w:rsidRPr="00EF7404">
        <w:rPr>
          <w:lang w:val="en-CA" w:eastAsia="fr-CA"/>
        </w:rPr>
        <w:t>a brief period of detention</w:t>
      </w:r>
      <w:r w:rsidR="005F64AB">
        <w:rPr>
          <w:lang w:val="en-CA" w:eastAsia="fr-CA"/>
        </w:rPr>
        <w:t>”</w:t>
      </w:r>
      <w:r w:rsidRPr="00EF7404">
        <w:rPr>
          <w:lang w:val="en-CA" w:eastAsia="fr-CA"/>
        </w:rPr>
        <w:t xml:space="preserve">, if not </w:t>
      </w:r>
      <w:r w:rsidR="005F64AB">
        <w:rPr>
          <w:lang w:val="en-CA" w:eastAsia="fr-CA"/>
        </w:rPr>
        <w:t>“</w:t>
      </w:r>
      <w:r w:rsidRPr="00EF7404">
        <w:rPr>
          <w:lang w:val="en-CA" w:eastAsia="fr-CA"/>
        </w:rPr>
        <w:t>immediately</w:t>
      </w:r>
      <w:r w:rsidR="005F64AB">
        <w:rPr>
          <w:lang w:val="en-CA" w:eastAsia="fr-CA"/>
        </w:rPr>
        <w:t>”</w:t>
      </w:r>
      <w:r w:rsidRPr="00EF7404">
        <w:rPr>
          <w:lang w:val="en-CA" w:eastAsia="fr-CA"/>
        </w:rPr>
        <w:t xml:space="preserve">. </w:t>
      </w:r>
      <w:r w:rsidRPr="00EF7404">
        <w:rPr>
          <w:u w:val="single"/>
          <w:lang w:val="en-CA" w:eastAsia="fr-CA"/>
        </w:rPr>
        <w:t xml:space="preserve">The demand in the instant case was not to provide a breath sample </w:t>
      </w:r>
      <w:r w:rsidR="005F64AB">
        <w:rPr>
          <w:u w:val="single"/>
          <w:lang w:val="en-CA" w:eastAsia="fr-CA"/>
        </w:rPr>
        <w:t>“</w:t>
      </w:r>
      <w:r w:rsidRPr="00EF7404">
        <w:rPr>
          <w:u w:val="single"/>
          <w:lang w:val="en-CA" w:eastAsia="fr-CA"/>
        </w:rPr>
        <w:t>forthwith</w:t>
      </w:r>
      <w:r w:rsidR="005F64AB">
        <w:rPr>
          <w:u w:val="single"/>
          <w:lang w:val="en-CA" w:eastAsia="fr-CA"/>
        </w:rPr>
        <w:t>”</w:t>
      </w:r>
      <w:r w:rsidRPr="00EF7404">
        <w:rPr>
          <w:u w:val="single"/>
          <w:lang w:val="en-CA" w:eastAsia="fr-CA"/>
        </w:rPr>
        <w:t xml:space="preserve"> but to provide a sample when the required apparatus arrived, which was some time later.</w:t>
      </w:r>
    </w:p>
    <w:p w14:paraId="498744A5" w14:textId="77777777" w:rsidR="00B92B76" w:rsidRPr="00EF7404" w:rsidRDefault="004A6BD6" w:rsidP="002D323C">
      <w:pPr>
        <w:pStyle w:val="Citationenretrait"/>
        <w:ind w:left="6480" w:firstLine="183"/>
        <w:rPr>
          <w:sz w:val="24"/>
          <w:szCs w:val="24"/>
          <w:lang w:val="en-CA" w:eastAsia="fr-CA"/>
        </w:rPr>
      </w:pPr>
      <w:r w:rsidRPr="00EF7404">
        <w:rPr>
          <w:sz w:val="24"/>
          <w:szCs w:val="24"/>
          <w:lang w:val="en-CA" w:eastAsia="fr-CA"/>
        </w:rPr>
        <w:t>[Emphasis added]</w:t>
      </w:r>
    </w:p>
    <w:p w14:paraId="65615C02" w14:textId="77777777" w:rsidR="00B92B76" w:rsidRPr="00EF7404" w:rsidRDefault="004A6BD6" w:rsidP="002D323C">
      <w:pPr>
        <w:pStyle w:val="Paragraphe"/>
        <w:spacing w:line="280" w:lineRule="exact"/>
        <w:rPr>
          <w:lang w:val="en-CA" w:eastAsia="fr-CA"/>
        </w:rPr>
      </w:pPr>
      <w:r w:rsidRPr="00EF7404">
        <w:rPr>
          <w:lang w:val="en-CA" w:eastAsia="fr-CA"/>
        </w:rPr>
        <w:t xml:space="preserve">Even though this judgment was rendered in the context of the right to counsel, this opinion is nevertheless relevant. </w:t>
      </w:r>
      <w:r w:rsidRPr="00EF7404">
        <w:rPr>
          <w:i/>
          <w:iCs/>
          <w:lang w:val="en-CA" w:eastAsia="fr-CA"/>
        </w:rPr>
        <w:t>Degiorgio</w:t>
      </w:r>
      <w:r w:rsidRPr="00EF7404">
        <w:rPr>
          <w:lang w:val="en-CA" w:eastAsia="fr-CA"/>
        </w:rPr>
        <w:t>, however, did not take it into account.</w:t>
      </w:r>
    </w:p>
    <w:p w14:paraId="6313B269" w14:textId="2A72AA4F" w:rsidR="00B92B76" w:rsidRPr="00EF7404" w:rsidRDefault="004A6BD6" w:rsidP="002D323C">
      <w:pPr>
        <w:pStyle w:val="Paragraphe"/>
        <w:spacing w:line="280" w:lineRule="exact"/>
        <w:rPr>
          <w:lang w:val="en-CA" w:eastAsia="fr-CA"/>
        </w:rPr>
      </w:pPr>
      <w:r w:rsidRPr="00EF7404">
        <w:rPr>
          <w:lang w:val="en-CA" w:eastAsia="fr-CA"/>
        </w:rPr>
        <w:t xml:space="preserve">To summarize my thought process, let me present this hypothesis. A person agrees to comply with the demand before there is an ASD at the scene. This person waits with the police officers until the ASD arrives. If it does not arrive </w:t>
      </w:r>
      <w:r w:rsidR="005F64AB">
        <w:rPr>
          <w:lang w:val="en-CA" w:eastAsia="fr-CA"/>
        </w:rPr>
        <w:t>“</w:t>
      </w:r>
      <w:r w:rsidRPr="00EF7404">
        <w:rPr>
          <w:lang w:val="en-CA" w:eastAsia="fr-CA"/>
        </w:rPr>
        <w:t>forthwith</w:t>
      </w:r>
      <w:r w:rsidR="005F64AB">
        <w:rPr>
          <w:lang w:val="en-CA" w:eastAsia="fr-CA"/>
        </w:rPr>
        <w:t>”</w:t>
      </w:r>
      <w:r w:rsidR="00F3015D">
        <w:rPr>
          <w:lang w:val="en-CA" w:eastAsia="fr-CA"/>
        </w:rPr>
        <w:t>—</w:t>
      </w:r>
      <w:r w:rsidRPr="00EF7404">
        <w:rPr>
          <w:lang w:val="en-CA" w:eastAsia="fr-CA"/>
        </w:rPr>
        <w:t xml:space="preserve">i.e., is too late (such as the 30 minutes in </w:t>
      </w:r>
      <w:r w:rsidRPr="00EF7404">
        <w:rPr>
          <w:i/>
          <w:iCs/>
          <w:lang w:val="en-CA" w:eastAsia="fr-CA"/>
        </w:rPr>
        <w:t xml:space="preserve">Grant </w:t>
      </w:r>
      <w:r w:rsidRPr="00EF7404">
        <w:rPr>
          <w:lang w:val="en-CA" w:eastAsia="fr-CA"/>
        </w:rPr>
        <w:t xml:space="preserve">or the 10 or 15 minutes in </w:t>
      </w:r>
      <w:r w:rsidRPr="00EF7404">
        <w:rPr>
          <w:i/>
          <w:iCs/>
          <w:lang w:val="en-CA" w:eastAsia="fr-CA"/>
        </w:rPr>
        <w:t>Petit</w:t>
      </w:r>
      <w:r w:rsidRPr="00EF7404">
        <w:rPr>
          <w:lang w:val="en-CA" w:eastAsia="fr-CA"/>
        </w:rPr>
        <w:t>)</w:t>
      </w:r>
      <w:r w:rsidR="00F3015D">
        <w:rPr>
          <w:lang w:val="en-CA" w:eastAsia="fr-CA"/>
        </w:rPr>
        <w:t>—</w:t>
      </w:r>
      <w:r w:rsidRPr="00EF7404">
        <w:rPr>
          <w:lang w:val="en-CA" w:eastAsia="fr-CA"/>
        </w:rPr>
        <w:t xml:space="preserve">the person could change his or her mind and refuse to provide a breath sample, without being convicted, given that the demand is not valid. Yet, applying the logic in </w:t>
      </w:r>
      <w:r w:rsidRPr="00EF7404">
        <w:rPr>
          <w:i/>
          <w:iCs/>
          <w:lang w:val="en-CA" w:eastAsia="fr-CA"/>
        </w:rPr>
        <w:t>Degiorgio</w:t>
      </w:r>
      <w:r w:rsidRPr="00EF7404">
        <w:rPr>
          <w:lang w:val="en-CA" w:eastAsia="fr-CA"/>
        </w:rPr>
        <w:t xml:space="preserve">, if the same person had refused the same demand from the outset, he or she could face charges for refusing, without the ASD even having been delivered in time. I cannot accept such reasoning, whereby the same demand can be both valid and invalid, depending on the moment when the driver refuses to comply. A demand is either made </w:t>
      </w:r>
      <w:r w:rsidR="005F64AB">
        <w:rPr>
          <w:lang w:val="en-CA" w:eastAsia="fr-CA"/>
        </w:rPr>
        <w:t>“</w:t>
      </w:r>
      <w:r w:rsidRPr="00EF7404">
        <w:rPr>
          <w:lang w:val="en-CA" w:eastAsia="fr-CA"/>
        </w:rPr>
        <w:t>forthwith</w:t>
      </w:r>
      <w:r w:rsidR="005F64AB">
        <w:rPr>
          <w:lang w:val="en-CA" w:eastAsia="fr-CA"/>
        </w:rPr>
        <w:t>”</w:t>
      </w:r>
      <w:r w:rsidRPr="00EF7404">
        <w:rPr>
          <w:lang w:val="en-CA" w:eastAsia="fr-CA"/>
        </w:rPr>
        <w:t xml:space="preserve"> or it is not, and a person must be able to comply or not comply forthwith; it must be valid or not, regardless of the moment when the driver expresses his or her refusal. </w:t>
      </w:r>
    </w:p>
    <w:p w14:paraId="05B03F63" w14:textId="77777777" w:rsidR="00B92B76" w:rsidRPr="00EF7404" w:rsidRDefault="004A6BD6" w:rsidP="002D323C">
      <w:pPr>
        <w:pStyle w:val="Paragraphe"/>
        <w:spacing w:line="280" w:lineRule="exact"/>
        <w:rPr>
          <w:lang w:val="en-CA" w:eastAsia="fr-CA"/>
        </w:rPr>
      </w:pPr>
      <w:r w:rsidRPr="00EF7404">
        <w:rPr>
          <w:lang w:val="en-CA" w:eastAsia="fr-CA"/>
        </w:rPr>
        <w:t xml:space="preserve">The ruling in </w:t>
      </w:r>
      <w:r w:rsidRPr="00EF7404">
        <w:rPr>
          <w:i/>
          <w:iCs/>
          <w:lang w:val="en-CA" w:eastAsia="fr-CA"/>
        </w:rPr>
        <w:t>R. v. Danychuk</w:t>
      </w:r>
      <w:r w:rsidRPr="00EF7404">
        <w:rPr>
          <w:lang w:val="en-CA" w:eastAsia="fr-CA"/>
        </w:rPr>
        <w:t xml:space="preserve">, 2004 CanLII 12975, 183 CCC (3d) 337 (Ont. C.A.), which the respondent also cites, does not support its argument, even if it may seem that </w:t>
      </w:r>
      <w:r w:rsidRPr="00EF7404">
        <w:rPr>
          <w:i/>
          <w:iCs/>
          <w:lang w:val="en-CA" w:eastAsia="fr-CA"/>
        </w:rPr>
        <w:t>Degiorgio</w:t>
      </w:r>
      <w:r w:rsidRPr="00EF7404">
        <w:rPr>
          <w:lang w:val="en-CA" w:eastAsia="fr-CA"/>
        </w:rPr>
        <w:t xml:space="preserve"> is to the same effect. </w:t>
      </w:r>
    </w:p>
    <w:p w14:paraId="557C7941" w14:textId="0BFC6B6C" w:rsidR="00B92B76" w:rsidRPr="00EF7404" w:rsidRDefault="004A6BD6" w:rsidP="002D323C">
      <w:pPr>
        <w:pStyle w:val="Paragraphe"/>
        <w:spacing w:line="280" w:lineRule="exact"/>
        <w:rPr>
          <w:lang w:val="en-CA" w:eastAsia="fr-CA"/>
        </w:rPr>
      </w:pPr>
      <w:r w:rsidRPr="00EF7404">
        <w:rPr>
          <w:lang w:val="en-CA" w:eastAsia="fr-CA"/>
        </w:rPr>
        <w:t xml:space="preserve">In </w:t>
      </w:r>
      <w:r w:rsidRPr="00EF7404">
        <w:rPr>
          <w:i/>
          <w:iCs/>
          <w:lang w:val="en-CA" w:eastAsia="fr-CA"/>
        </w:rPr>
        <w:t>Danychuk</w:t>
      </w:r>
      <w:r w:rsidRPr="00EF7404">
        <w:rPr>
          <w:lang w:val="en-CA" w:eastAsia="fr-CA"/>
        </w:rPr>
        <w:t xml:space="preserve">, the police officer had an ASD in his vehicle. The only problem </w:t>
      </w:r>
      <w:r w:rsidR="003A78BD">
        <w:rPr>
          <w:lang w:val="en-CA" w:eastAsia="fr-CA"/>
        </w:rPr>
        <w:t xml:space="preserve">was </w:t>
      </w:r>
      <w:r w:rsidRPr="00EF7404">
        <w:rPr>
          <w:lang w:val="en-CA" w:eastAsia="fr-CA"/>
        </w:rPr>
        <w:t>that he had not warmed it up so it could be operational before he made the demand. The debate therefore pertained to the need to turn on the ASD before making the demand:</w:t>
      </w:r>
    </w:p>
    <w:p w14:paraId="2344869C" w14:textId="77777777" w:rsidR="00B92B76" w:rsidRPr="00EF7404" w:rsidRDefault="004A6BD6" w:rsidP="002D323C">
      <w:pPr>
        <w:pStyle w:val="Citationenretrait"/>
        <w:rPr>
          <w:lang w:val="en-CA" w:eastAsia="fr-CA"/>
        </w:rPr>
      </w:pPr>
      <w:r w:rsidRPr="00EF7404">
        <w:rPr>
          <w:lang w:val="en-CA" w:eastAsia="fr-CA"/>
        </w:rPr>
        <w:t xml:space="preserve">[19] </w:t>
      </w:r>
      <w:r w:rsidRPr="00EF7404">
        <w:rPr>
          <w:lang w:val="en-CA" w:eastAsia="fr-CA"/>
        </w:rPr>
        <w:tab/>
        <w:t>As I read the language of subsection 254(2) and appreciate its context, however, I see nothing in it mandating -- either expressly or by implication -- that before a demand may be made the approved screening device must be warmed up and tested as operational and the police officer must have explained the process and the consequences of a failure to comply.</w:t>
      </w:r>
    </w:p>
    <w:p w14:paraId="16ECD9E7" w14:textId="77777777" w:rsidR="00B92B76" w:rsidRPr="00EF7404" w:rsidRDefault="004A6BD6" w:rsidP="002D323C">
      <w:pPr>
        <w:pStyle w:val="Paragraphe"/>
        <w:spacing w:line="280" w:lineRule="exact"/>
        <w:rPr>
          <w:lang w:val="en-CA" w:eastAsia="fr-CA"/>
        </w:rPr>
      </w:pPr>
      <w:r w:rsidRPr="00EF7404">
        <w:rPr>
          <w:lang w:val="en-CA" w:eastAsia="fr-CA"/>
        </w:rPr>
        <w:t xml:space="preserve">Consequently, this situation has nothing to do with the matter before us. </w:t>
      </w:r>
    </w:p>
    <w:p w14:paraId="1770347C" w14:textId="6DB1D617" w:rsidR="00B92B76" w:rsidRPr="00EF7404" w:rsidRDefault="004A6BD6" w:rsidP="002D323C">
      <w:pPr>
        <w:pStyle w:val="Paragraphe"/>
        <w:spacing w:line="280" w:lineRule="exact"/>
        <w:rPr>
          <w:lang w:val="en-CA"/>
        </w:rPr>
      </w:pPr>
      <w:r w:rsidRPr="00EF7404">
        <w:rPr>
          <w:i/>
          <w:iCs/>
          <w:lang w:val="en-CA"/>
        </w:rPr>
        <w:t>Huppé c. R</w:t>
      </w:r>
      <w:r w:rsidRPr="00EF7404">
        <w:rPr>
          <w:lang w:val="en-CA"/>
        </w:rPr>
        <w:t>., 2015 QCCA 1680, to which the respondent also refers, is of no further assistance to it, because the validity of the demand was not at issue. The ASD was in the police officer</w:t>
      </w:r>
      <w:r w:rsidR="005F64AB">
        <w:rPr>
          <w:lang w:val="en-CA"/>
        </w:rPr>
        <w:t>’</w:t>
      </w:r>
      <w:r w:rsidRPr="00EF7404">
        <w:rPr>
          <w:lang w:val="en-CA"/>
        </w:rPr>
        <w:t>s possession and the issue was whether the screening result was due to the conduct of Ms. Huppé, who was intentionally blowing into the device in an [</w:t>
      </w:r>
      <w:r w:rsidR="00EF7404" w:rsidRPr="00EF7404">
        <w:rPr>
          <w:smallCaps/>
          <w:lang w:val="en-CA"/>
        </w:rPr>
        <w:t>translation</w:t>
      </w:r>
      <w:r w:rsidRPr="00EF7404">
        <w:rPr>
          <w:lang w:val="en-CA"/>
        </w:rPr>
        <w:t xml:space="preserve">] </w:t>
      </w:r>
      <w:r w:rsidR="005F64AB">
        <w:rPr>
          <w:lang w:val="en-CA"/>
        </w:rPr>
        <w:t>“</w:t>
      </w:r>
      <w:r w:rsidRPr="00EF7404">
        <w:rPr>
          <w:lang w:val="en-CA"/>
        </w:rPr>
        <w:t>entirely inadequate</w:t>
      </w:r>
      <w:r w:rsidR="005F64AB">
        <w:rPr>
          <w:lang w:val="en-CA"/>
        </w:rPr>
        <w:t>”</w:t>
      </w:r>
      <w:r w:rsidRPr="00EF7404">
        <w:rPr>
          <w:lang w:val="en-CA"/>
        </w:rPr>
        <w:t xml:space="preserve"> manner, such that </w:t>
      </w:r>
      <w:r w:rsidR="00134023">
        <w:rPr>
          <w:lang w:val="en-CA"/>
        </w:rPr>
        <w:t>this</w:t>
      </w:r>
      <w:r w:rsidR="00134023" w:rsidRPr="00EF7404">
        <w:rPr>
          <w:lang w:val="en-CA"/>
        </w:rPr>
        <w:t xml:space="preserve"> </w:t>
      </w:r>
      <w:r w:rsidRPr="00EF7404">
        <w:rPr>
          <w:lang w:val="en-CA"/>
        </w:rPr>
        <w:t>constituted a refusal, or whether the result was due to a device malfunction. The Court therefore did not rule on a situation where, as is the case here, the device was not in the police officer</w:t>
      </w:r>
      <w:r w:rsidR="005F64AB">
        <w:rPr>
          <w:lang w:val="en-CA"/>
        </w:rPr>
        <w:t>’</w:t>
      </w:r>
      <w:r w:rsidRPr="00EF7404">
        <w:rPr>
          <w:lang w:val="en-CA"/>
        </w:rPr>
        <w:t>s possession.</w:t>
      </w:r>
    </w:p>
    <w:p w14:paraId="469A2A0D" w14:textId="77777777" w:rsidR="00B92B76" w:rsidRPr="00EF7404" w:rsidRDefault="004A6BD6" w:rsidP="002D323C">
      <w:pPr>
        <w:pStyle w:val="Paragraphe"/>
        <w:spacing w:line="280" w:lineRule="exact"/>
        <w:rPr>
          <w:lang w:val="en-CA"/>
        </w:rPr>
      </w:pPr>
      <w:r w:rsidRPr="00EF7404">
        <w:rPr>
          <w:lang w:val="en-CA"/>
        </w:rPr>
        <w:t>Here, too, this situation is not relevant to the present case.</w:t>
      </w:r>
    </w:p>
    <w:p w14:paraId="234C069F" w14:textId="77777777" w:rsidR="00B92B76" w:rsidRPr="00EF7404" w:rsidRDefault="004A6BD6" w:rsidP="002D323C">
      <w:pPr>
        <w:pStyle w:val="Titre1"/>
        <w:spacing w:line="280" w:lineRule="exact"/>
        <w:rPr>
          <w:lang w:val="en-CA"/>
        </w:rPr>
      </w:pPr>
      <w:r w:rsidRPr="00EF7404">
        <w:rPr>
          <w:bCs/>
          <w:lang w:val="en-CA"/>
        </w:rPr>
        <w:t>Conclusion</w:t>
      </w:r>
    </w:p>
    <w:p w14:paraId="36A6C9B2" w14:textId="4A942EB8" w:rsidR="00B92B76" w:rsidRPr="00EF7404" w:rsidRDefault="004A6BD6" w:rsidP="002D323C">
      <w:pPr>
        <w:pStyle w:val="Paragraphe"/>
        <w:spacing w:line="280" w:lineRule="exact"/>
        <w:rPr>
          <w:lang w:val="en-CA"/>
        </w:rPr>
      </w:pPr>
      <w:r w:rsidRPr="00EF7404">
        <w:rPr>
          <w:lang w:val="en-CA"/>
        </w:rPr>
        <w:t xml:space="preserve">I am well aware that it would be much more convenient to allow a delay for the delivery of the device, as in </w:t>
      </w:r>
      <w:r w:rsidRPr="00EF7404">
        <w:rPr>
          <w:i/>
          <w:iCs/>
          <w:lang w:val="en-CA"/>
        </w:rPr>
        <w:t>Petit</w:t>
      </w:r>
      <w:r w:rsidRPr="00EF7404">
        <w:rPr>
          <w:lang w:val="en-CA"/>
        </w:rPr>
        <w:t xml:space="preserve">. The role of the courts, however, is not to facilitate the job of police officers, nor, as a matter of fact, to complicate it. Their role is to interpret and apply the law. That said, Parliament used </w:t>
      </w:r>
      <w:r w:rsidR="002D6BDF">
        <w:rPr>
          <w:lang w:val="en-CA"/>
        </w:rPr>
        <w:t xml:space="preserve">the word </w:t>
      </w:r>
      <w:r w:rsidR="005F64AB">
        <w:rPr>
          <w:lang w:val="en-CA"/>
        </w:rPr>
        <w:t>“</w:t>
      </w:r>
      <w:r w:rsidR="00121C65">
        <w:rPr>
          <w:lang w:val="en-CA"/>
        </w:rPr>
        <w:t>immediately</w:t>
      </w:r>
      <w:r w:rsidR="005F64AB">
        <w:rPr>
          <w:lang w:val="en-CA"/>
        </w:rPr>
        <w:t>”</w:t>
      </w:r>
      <w:r w:rsidR="00CB2E40">
        <w:rPr>
          <w:lang w:val="en-CA"/>
        </w:rPr>
        <w:t xml:space="preserve"> in the recent amendments</w:t>
      </w:r>
      <w:r w:rsidRPr="00EF7404">
        <w:rPr>
          <w:lang w:val="en-CA"/>
        </w:rPr>
        <w:t xml:space="preserve"> </w:t>
      </w:r>
      <w:r w:rsidR="00A026D3">
        <w:rPr>
          <w:lang w:val="en-CA"/>
        </w:rPr>
        <w:t>(</w:t>
      </w:r>
      <w:r w:rsidR="00FE3700">
        <w:rPr>
          <w:lang w:val="en-CA"/>
        </w:rPr>
        <w:t xml:space="preserve">and kept the word “immédiatement” </w:t>
      </w:r>
      <w:r w:rsidR="00CB2E40">
        <w:rPr>
          <w:lang w:val="en-CA"/>
        </w:rPr>
        <w:t>in French</w:t>
      </w:r>
      <w:r w:rsidR="00A026D3">
        <w:rPr>
          <w:lang w:val="en-CA"/>
        </w:rPr>
        <w:t>)</w:t>
      </w:r>
      <w:r w:rsidR="00CB2E40">
        <w:rPr>
          <w:lang w:val="en-CA"/>
        </w:rPr>
        <w:t xml:space="preserve"> </w:t>
      </w:r>
      <w:r w:rsidRPr="00EF7404">
        <w:rPr>
          <w:lang w:val="en-CA"/>
        </w:rPr>
        <w:t>despite all of the Supreme Court cases that have given it its ordinary meaning and have allowed a delay only to ensure the validity of the test when circumstances raise a concern in that regard.</w:t>
      </w:r>
    </w:p>
    <w:p w14:paraId="37947387" w14:textId="4A187F52" w:rsidR="00B92B76" w:rsidRPr="00673349" w:rsidRDefault="004A6BD6" w:rsidP="002D323C">
      <w:pPr>
        <w:pStyle w:val="Paragraphe"/>
        <w:spacing w:line="280" w:lineRule="exact"/>
        <w:rPr>
          <w:lang w:val="en-CA"/>
        </w:rPr>
      </w:pPr>
      <w:r w:rsidRPr="00673349">
        <w:rPr>
          <w:lang w:val="en-CA"/>
        </w:rPr>
        <w:t xml:space="preserve">If Parliament had wanted to depart from that interpretation, it could have used wording found in other provisions, such as </w:t>
      </w:r>
      <w:r w:rsidR="005F64AB" w:rsidRPr="00673349">
        <w:rPr>
          <w:lang w:val="en-CA"/>
        </w:rPr>
        <w:t>“</w:t>
      </w:r>
      <w:r w:rsidRPr="00673349">
        <w:rPr>
          <w:lang w:val="en-CA"/>
        </w:rPr>
        <w:t>as soon as feasible</w:t>
      </w:r>
      <w:r w:rsidR="005F64AB" w:rsidRPr="00673349">
        <w:rPr>
          <w:lang w:val="en-CA"/>
        </w:rPr>
        <w:t>”</w:t>
      </w:r>
      <w:r w:rsidRPr="00673349">
        <w:rPr>
          <w:lang w:val="en-CA"/>
        </w:rPr>
        <w:t xml:space="preserve">, </w:t>
      </w:r>
      <w:r w:rsidR="005F64AB" w:rsidRPr="00673349">
        <w:rPr>
          <w:lang w:val="en-CA"/>
        </w:rPr>
        <w:t>“</w:t>
      </w:r>
      <w:r w:rsidRPr="00673349">
        <w:rPr>
          <w:lang w:val="en-CA"/>
        </w:rPr>
        <w:t>as</w:t>
      </w:r>
      <w:r w:rsidR="000459E3" w:rsidRPr="00673349">
        <w:rPr>
          <w:lang w:val="en-CA"/>
        </w:rPr>
        <w:t xml:space="preserve"> soon as reasonably possible</w:t>
      </w:r>
      <w:r w:rsidR="005F64AB" w:rsidRPr="00673349">
        <w:rPr>
          <w:lang w:val="en-CA"/>
        </w:rPr>
        <w:t>”</w:t>
      </w:r>
      <w:r w:rsidRPr="00673349">
        <w:rPr>
          <w:lang w:val="en-CA"/>
        </w:rPr>
        <w:t xml:space="preserve"> (which is how the respondent would like the word </w:t>
      </w:r>
      <w:r w:rsidR="005F64AB" w:rsidRPr="00673349">
        <w:rPr>
          <w:lang w:val="en-CA"/>
        </w:rPr>
        <w:t>“</w:t>
      </w:r>
      <w:r w:rsidRPr="00673349">
        <w:rPr>
          <w:lang w:val="en-CA"/>
        </w:rPr>
        <w:t>forthwith</w:t>
      </w:r>
      <w:r w:rsidR="005F64AB" w:rsidRPr="00673349">
        <w:rPr>
          <w:lang w:val="en-CA"/>
        </w:rPr>
        <w:t>”</w:t>
      </w:r>
      <w:r w:rsidRPr="00673349">
        <w:rPr>
          <w:lang w:val="en-CA"/>
        </w:rPr>
        <w:t xml:space="preserve"> to be interpreted), </w:t>
      </w:r>
      <w:r w:rsidR="005F64AB" w:rsidRPr="00673349">
        <w:rPr>
          <w:lang w:val="en-CA"/>
        </w:rPr>
        <w:t>“</w:t>
      </w:r>
      <w:r w:rsidRPr="00673349">
        <w:rPr>
          <w:lang w:val="en-CA"/>
        </w:rPr>
        <w:t>without delay</w:t>
      </w:r>
      <w:r w:rsidR="005F64AB" w:rsidRPr="00673349">
        <w:rPr>
          <w:lang w:val="en-CA"/>
        </w:rPr>
        <w:t>”</w:t>
      </w:r>
      <w:r w:rsidRPr="00673349">
        <w:rPr>
          <w:lang w:val="en-CA"/>
        </w:rPr>
        <w:t xml:space="preserve"> (as in s. 10(</w:t>
      </w:r>
      <w:r w:rsidRPr="00673349">
        <w:rPr>
          <w:i/>
          <w:iCs/>
          <w:lang w:val="en-CA"/>
        </w:rPr>
        <w:t>b</w:t>
      </w:r>
      <w:r w:rsidRPr="00673349">
        <w:rPr>
          <w:lang w:val="en-CA"/>
        </w:rPr>
        <w:t xml:space="preserve">) of the </w:t>
      </w:r>
      <w:r w:rsidRPr="00673349">
        <w:rPr>
          <w:i/>
          <w:iCs/>
          <w:lang w:val="en-CA"/>
        </w:rPr>
        <w:t>Charter</w:t>
      </w:r>
      <w:r w:rsidR="0032236A" w:rsidRPr="00673349">
        <w:rPr>
          <w:iCs/>
          <w:lang w:val="en-CA"/>
        </w:rPr>
        <w:t xml:space="preserve">, which means </w:t>
      </w:r>
      <w:r w:rsidR="0032236A" w:rsidRPr="00673349">
        <w:rPr>
          <w:i/>
          <w:color w:val="000000"/>
          <w:shd w:val="clear" w:color="auto" w:fill="FFFFFF"/>
          <w:lang w:val="en-CA"/>
        </w:rPr>
        <w:t>at the first reasonably available opportunity</w:t>
      </w:r>
      <w:r w:rsidR="00974721" w:rsidRPr="00673349">
        <w:rPr>
          <w:color w:val="000000"/>
          <w:shd w:val="clear" w:color="auto" w:fill="FFFFFF"/>
          <w:lang w:val="en-CA"/>
        </w:rPr>
        <w:t xml:space="preserve"> with respect to access to counsel</w:t>
      </w:r>
      <w:r w:rsidRPr="00673349">
        <w:rPr>
          <w:lang w:val="en-CA"/>
        </w:rPr>
        <w:t xml:space="preserve">) or </w:t>
      </w:r>
      <w:r w:rsidR="005F64AB" w:rsidRPr="00673349">
        <w:rPr>
          <w:lang w:val="en-CA"/>
        </w:rPr>
        <w:t>“</w:t>
      </w:r>
      <w:r w:rsidRPr="00673349">
        <w:rPr>
          <w:lang w:val="en-CA"/>
        </w:rPr>
        <w:t>as soon as practicable</w:t>
      </w:r>
      <w:r w:rsidR="005F64AB" w:rsidRPr="00673349">
        <w:rPr>
          <w:lang w:val="en-CA"/>
        </w:rPr>
        <w:t>”</w:t>
      </w:r>
      <w:r w:rsidRPr="00673349">
        <w:rPr>
          <w:lang w:val="en-CA"/>
        </w:rPr>
        <w:t xml:space="preserve"> (as in new s.</w:t>
      </w:r>
      <w:r w:rsidR="00D94496" w:rsidRPr="00673349">
        <w:rPr>
          <w:lang w:val="en-CA"/>
        </w:rPr>
        <w:t> </w:t>
      </w:r>
      <w:r w:rsidRPr="00673349">
        <w:rPr>
          <w:lang w:val="en-CA"/>
        </w:rPr>
        <w:t xml:space="preserve">320.28 </w:t>
      </w:r>
      <w:r w:rsidRPr="00673349">
        <w:rPr>
          <w:i/>
          <w:iCs/>
          <w:lang w:val="en-CA"/>
        </w:rPr>
        <w:t>Cr.C.</w:t>
      </w:r>
      <w:r w:rsidRPr="00673349">
        <w:rPr>
          <w:lang w:val="en-CA"/>
        </w:rPr>
        <w:t xml:space="preserve">). It did not do so. </w:t>
      </w:r>
    </w:p>
    <w:p w14:paraId="5520CEEB" w14:textId="77777777" w:rsidR="00B92B76" w:rsidRPr="00EF7404" w:rsidRDefault="004A6BD6" w:rsidP="002D323C">
      <w:pPr>
        <w:pStyle w:val="Paragraphe"/>
        <w:spacing w:line="280" w:lineRule="exact"/>
        <w:rPr>
          <w:lang w:val="en-CA"/>
        </w:rPr>
      </w:pPr>
      <w:r w:rsidRPr="00EF7404">
        <w:rPr>
          <w:lang w:val="en-CA"/>
        </w:rPr>
        <w:t>Moreover, police officers are not necessarily without resources in the absence of an ASD. They can use physical coordination tests (s. 320.27(1)(</w:t>
      </w:r>
      <w:r w:rsidRPr="00EF7404">
        <w:rPr>
          <w:i/>
          <w:iCs/>
          <w:lang w:val="en-CA"/>
        </w:rPr>
        <w:t>a</w:t>
      </w:r>
      <w:r w:rsidRPr="00EF7404">
        <w:rPr>
          <w:lang w:val="en-CA"/>
        </w:rPr>
        <w:t xml:space="preserve">) </w:t>
      </w:r>
      <w:r w:rsidRPr="00EF7404">
        <w:rPr>
          <w:i/>
          <w:iCs/>
          <w:lang w:val="en-CA"/>
        </w:rPr>
        <w:t xml:space="preserve">Cr.C.) </w:t>
      </w:r>
      <w:r w:rsidRPr="00EF7404">
        <w:rPr>
          <w:lang w:val="en-CA"/>
        </w:rPr>
        <w:t xml:space="preserve">or avail themselves more generally of the new provisions of ss. 320.27 and 320.28 </w:t>
      </w:r>
      <w:r w:rsidRPr="00EF7404">
        <w:rPr>
          <w:i/>
          <w:iCs/>
          <w:lang w:val="en-CA"/>
        </w:rPr>
        <w:t>Cr.C.</w:t>
      </w:r>
      <w:r w:rsidRPr="00EF7404">
        <w:rPr>
          <w:lang w:val="en-CA"/>
        </w:rPr>
        <w:t xml:space="preserve">, which, in all likelihood, give them more flexibility when intervening. </w:t>
      </w:r>
    </w:p>
    <w:p w14:paraId="66AEF525" w14:textId="0008FC2E" w:rsidR="00B92B76" w:rsidRPr="00EF7404" w:rsidRDefault="004A6BD6" w:rsidP="002D323C">
      <w:pPr>
        <w:pStyle w:val="Paragraphe"/>
        <w:spacing w:line="280" w:lineRule="exact"/>
        <w:rPr>
          <w:lang w:val="en-CA"/>
        </w:rPr>
      </w:pPr>
      <w:r w:rsidRPr="00EF7404">
        <w:rPr>
          <w:lang w:val="en-CA"/>
        </w:rPr>
        <w:t xml:space="preserve">Considering that the right to counsel is suspended because of the very short delay before a breath sample is provided with an ASD (a delay so short that it does not even allow a reasonable amount of time to contact counsel, which explains the suspension of that right), the word </w:t>
      </w:r>
      <w:r w:rsidR="005F64AB">
        <w:rPr>
          <w:lang w:val="en-CA"/>
        </w:rPr>
        <w:t>“</w:t>
      </w:r>
      <w:r w:rsidRPr="00EF7404">
        <w:rPr>
          <w:lang w:val="en-CA"/>
        </w:rPr>
        <w:t>forthwith</w:t>
      </w:r>
      <w:r w:rsidR="005F64AB">
        <w:rPr>
          <w:lang w:val="en-CA"/>
        </w:rPr>
        <w:t>”</w:t>
      </w:r>
      <w:r w:rsidRPr="00EF7404">
        <w:rPr>
          <w:lang w:val="en-CA"/>
        </w:rPr>
        <w:t xml:space="preserve"> cannot justify a delay greater than is necessary to properly operate the device or obtain a reliable test in light of the facts noted by the police officer. It certainly does not allow an additional delay while awaiting the device, contrary to the teachings in </w:t>
      </w:r>
      <w:r w:rsidRPr="00EF7404">
        <w:rPr>
          <w:i/>
          <w:iCs/>
          <w:lang w:val="en-CA"/>
        </w:rPr>
        <w:t>Petit</w:t>
      </w:r>
      <w:r w:rsidRPr="00EF7404">
        <w:rPr>
          <w:lang w:val="en-CA"/>
        </w:rPr>
        <w:t xml:space="preserve">, which must no longer be followed because they run counter to the teachings of the Supreme Court by expanding the scope of criminal liability beyond acceptable limits: </w:t>
      </w:r>
      <w:r w:rsidRPr="00EF7404">
        <w:rPr>
          <w:i/>
          <w:iCs/>
          <w:lang w:val="en-CA"/>
        </w:rPr>
        <w:t>R. v. Chaulk</w:t>
      </w:r>
      <w:r w:rsidRPr="00EF7404">
        <w:rPr>
          <w:lang w:val="en-CA"/>
        </w:rPr>
        <w:t>, [1990] 3 S.C.R. 1303, p. 1353.</w:t>
      </w:r>
    </w:p>
    <w:p w14:paraId="60FF7C3C" w14:textId="31D12289" w:rsidR="00B92B76" w:rsidRPr="00EF7404" w:rsidRDefault="004A6BD6" w:rsidP="002D323C">
      <w:pPr>
        <w:pStyle w:val="Paragraphe"/>
        <w:spacing w:line="280" w:lineRule="exact"/>
        <w:rPr>
          <w:lang w:val="en-CA"/>
        </w:rPr>
      </w:pPr>
      <w:r>
        <w:rPr>
          <w:lang w:val="en-CA"/>
        </w:rPr>
        <w:t>Simply put</w:t>
      </w:r>
      <w:r w:rsidR="0094427C" w:rsidRPr="00EF7404">
        <w:rPr>
          <w:lang w:val="en-CA"/>
        </w:rPr>
        <w:t>, the demand in the present case was invalid and the refusal that followed did not constitute a criminal offence, such that I would allow the appeal, reverse the judgment of the Superior Court as well as the judgment of the Municipal Court of the City of Quebec and direct that a judgment of acquittal be entered.</w:t>
      </w:r>
    </w:p>
    <w:tbl>
      <w:tblPr>
        <w:tblW w:w="0" w:type="auto"/>
        <w:tblInd w:w="70" w:type="dxa"/>
        <w:tblLayout w:type="fixed"/>
        <w:tblCellMar>
          <w:left w:w="70" w:type="dxa"/>
          <w:right w:w="70" w:type="dxa"/>
        </w:tblCellMar>
        <w:tblLook w:val="0000" w:firstRow="0" w:lastRow="0" w:firstColumn="0" w:lastColumn="0" w:noHBand="0" w:noVBand="0"/>
      </w:tblPr>
      <w:tblGrid>
        <w:gridCol w:w="4735"/>
        <w:gridCol w:w="4625"/>
      </w:tblGrid>
      <w:tr w:rsidR="00581844" w14:paraId="7B2E355E" w14:textId="77777777" w:rsidTr="00F03CC9">
        <w:trPr>
          <w:cantSplit/>
          <w:trHeight w:val="513"/>
        </w:trPr>
        <w:tc>
          <w:tcPr>
            <w:tcW w:w="9360" w:type="dxa"/>
            <w:gridSpan w:val="2"/>
          </w:tcPr>
          <w:p w14:paraId="444DE3F0" w14:textId="77777777" w:rsidR="00B92B76" w:rsidRPr="00EF7404" w:rsidRDefault="00B92B76" w:rsidP="002D323C">
            <w:pPr>
              <w:pStyle w:val="Citationenretrait"/>
              <w:ind w:left="0"/>
              <w:rPr>
                <w:lang w:val="en-CA"/>
              </w:rPr>
            </w:pPr>
          </w:p>
        </w:tc>
      </w:tr>
      <w:tr w:rsidR="00581844" w14:paraId="62E7F91E" w14:textId="77777777" w:rsidTr="00F03CC9">
        <w:tblPrEx>
          <w:tblCellMar>
            <w:left w:w="0" w:type="dxa"/>
            <w:right w:w="0" w:type="dxa"/>
          </w:tblCellMar>
        </w:tblPrEx>
        <w:trPr>
          <w:cantSplit/>
          <w:trHeight w:val="277"/>
        </w:trPr>
        <w:tc>
          <w:tcPr>
            <w:tcW w:w="4735" w:type="dxa"/>
            <w:vMerge w:val="restart"/>
          </w:tcPr>
          <w:p w14:paraId="36C2466B" w14:textId="77777777" w:rsidR="00B92B76" w:rsidRPr="00EF7404" w:rsidRDefault="00B92B76" w:rsidP="002D323C">
            <w:pPr>
              <w:rPr>
                <w:lang w:val="en-CA"/>
              </w:rPr>
            </w:pPr>
          </w:p>
        </w:tc>
        <w:tc>
          <w:tcPr>
            <w:tcW w:w="4625" w:type="dxa"/>
            <w:tcBorders>
              <w:bottom w:val="single" w:sz="8" w:space="0" w:color="auto"/>
            </w:tcBorders>
          </w:tcPr>
          <w:p w14:paraId="561446AB" w14:textId="77777777" w:rsidR="00B92B76" w:rsidRPr="00EF7404" w:rsidRDefault="00B92B76" w:rsidP="002D323C">
            <w:pPr>
              <w:rPr>
                <w:lang w:val="en-CA"/>
              </w:rPr>
            </w:pPr>
          </w:p>
        </w:tc>
      </w:tr>
      <w:tr w:rsidR="00581844" w14:paraId="1CF2B1FE" w14:textId="77777777" w:rsidTr="00F03CC9">
        <w:tblPrEx>
          <w:tblCellMar>
            <w:left w:w="0" w:type="dxa"/>
            <w:right w:w="0" w:type="dxa"/>
          </w:tblCellMar>
        </w:tblPrEx>
        <w:trPr>
          <w:cantSplit/>
          <w:trHeight w:val="276"/>
        </w:trPr>
        <w:tc>
          <w:tcPr>
            <w:tcW w:w="4735" w:type="dxa"/>
            <w:vMerge/>
          </w:tcPr>
          <w:p w14:paraId="784CDC6C" w14:textId="77777777" w:rsidR="00B92B76" w:rsidRPr="00EF7404" w:rsidRDefault="00B92B76" w:rsidP="002D323C">
            <w:pPr>
              <w:rPr>
                <w:lang w:val="en-CA"/>
              </w:rPr>
            </w:pPr>
          </w:p>
        </w:tc>
        <w:tc>
          <w:tcPr>
            <w:tcW w:w="4625" w:type="dxa"/>
          </w:tcPr>
          <w:p w14:paraId="37B103FC" w14:textId="32F3CCA7" w:rsidR="00B92B76" w:rsidRPr="00EF7404" w:rsidRDefault="004A6BD6" w:rsidP="002D323C">
            <w:pPr>
              <w:rPr>
                <w:lang w:val="en-CA"/>
              </w:rPr>
            </w:pPr>
            <w:r w:rsidRPr="008924D0">
              <w:rPr>
                <w:lang w:val="en-CA"/>
              </w:rPr>
              <w:t>FRANÇOIS DOYON, J.A.</w:t>
            </w:r>
          </w:p>
        </w:tc>
      </w:tr>
      <w:bookmarkEnd w:id="17"/>
    </w:tbl>
    <w:p w14:paraId="25A30FC7" w14:textId="77777777" w:rsidR="00740A17" w:rsidRPr="00EF7404" w:rsidRDefault="00740A17" w:rsidP="002D323C">
      <w:pPr>
        <w:rPr>
          <w:lang w:val="en-CA"/>
        </w:rPr>
      </w:pPr>
    </w:p>
    <w:sectPr w:rsidR="00740A17" w:rsidRPr="00EF7404" w:rsidSect="00B92B76">
      <w:headerReference w:type="even" r:id="rId10"/>
      <w:headerReference w:type="default" r:id="rId11"/>
      <w:footerReference w:type="even" r:id="rId12"/>
      <w:footerReference w:type="default" r:id="rId13"/>
      <w:headerReference w:type="first" r:id="rId14"/>
      <w:footerReference w:type="first" r:id="rId15"/>
      <w:pgSz w:w="12242" w:h="15842" w:code="1"/>
      <w:pgMar w:top="1440" w:right="1008" w:bottom="1440" w:left="1872" w:header="1440" w:footer="792"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3CDB90" w14:textId="77777777" w:rsidR="00F46920" w:rsidRDefault="004A6BD6">
      <w:pPr>
        <w:spacing w:line="240" w:lineRule="auto"/>
      </w:pPr>
      <w:r>
        <w:separator/>
      </w:r>
    </w:p>
  </w:endnote>
  <w:endnote w:type="continuationSeparator" w:id="0">
    <w:p w14:paraId="18913349" w14:textId="77777777" w:rsidR="00F46920" w:rsidRDefault="004A6B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9CC2FF" w14:textId="77777777" w:rsidR="00C44872" w:rsidRDefault="00C44872">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B2A9F2" w14:textId="77777777" w:rsidR="00C44872" w:rsidRDefault="00C44872">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2DE4BD" w14:textId="77777777" w:rsidR="00C44872" w:rsidRDefault="00C44872">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B0B0CE" w14:textId="77777777" w:rsidR="00F46920" w:rsidRDefault="004A6BD6">
      <w:pPr>
        <w:spacing w:line="240" w:lineRule="auto"/>
      </w:pPr>
      <w:r>
        <w:separator/>
      </w:r>
    </w:p>
  </w:footnote>
  <w:footnote w:type="continuationSeparator" w:id="0">
    <w:p w14:paraId="015BA10F" w14:textId="77777777" w:rsidR="00F46920" w:rsidRDefault="004A6BD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10C97B" w14:textId="5E222957" w:rsidR="00B92B76" w:rsidRDefault="004A6BD6" w:rsidP="004E45D1">
    <w:pPr>
      <w:tabs>
        <w:tab w:val="center" w:pos="4709"/>
        <w:tab w:val="right" w:pos="9360"/>
      </w:tabs>
      <w:spacing w:line="360" w:lineRule="auto"/>
      <w:ind w:right="524"/>
    </w:pPr>
    <w:r>
      <w:rPr>
        <w:lang w:val="en-CA"/>
      </w:rPr>
      <w:t xml:space="preserve">200-10-003742-207 </w:t>
    </w:r>
    <w:r>
      <w:rPr>
        <w:lang w:val="en-CA"/>
      </w:rPr>
      <w:tab/>
    </w:r>
    <w:r>
      <w:rPr>
        <w:lang w:val="en-CA"/>
      </w:rPr>
      <w:tab/>
      <w:t xml:space="preserve">PAGE: </w:t>
    </w:r>
    <w:r>
      <w:fldChar w:fldCharType="begin"/>
    </w:r>
    <w:r>
      <w:instrText xml:space="preserve"> PAGE </w:instrText>
    </w:r>
    <w:r>
      <w:fldChar w:fldCharType="separate"/>
    </w:r>
    <w:r w:rsidR="000C5103">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70E93A" w14:textId="77777777" w:rsidR="00C44872" w:rsidRDefault="00C44872">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799C65" w14:textId="217925EF" w:rsidR="007E33E4" w:rsidRDefault="004A6BD6" w:rsidP="00DB2119">
    <w:pPr>
      <w:tabs>
        <w:tab w:val="center" w:pos="4709"/>
        <w:tab w:val="right" w:pos="9360"/>
      </w:tabs>
      <w:spacing w:line="360" w:lineRule="auto"/>
      <w:ind w:right="524"/>
    </w:pPr>
    <w:bookmarkStart w:id="21" w:name="EntDossier"/>
    <w:r>
      <w:rPr>
        <w:lang w:val="en-CA"/>
      </w:rPr>
      <w:t>200-10-003742-207</w:t>
    </w:r>
    <w:bookmarkEnd w:id="21"/>
    <w:r>
      <w:rPr>
        <w:lang w:val="en-CA"/>
      </w:rPr>
      <w:t xml:space="preserve"> </w:t>
    </w:r>
    <w:r>
      <w:rPr>
        <w:lang w:val="en-CA"/>
      </w:rPr>
      <w:tab/>
    </w:r>
    <w:r>
      <w:rPr>
        <w:lang w:val="en-CA"/>
      </w:rPr>
      <w:tab/>
      <w:t xml:space="preserve">PAGE: </w:t>
    </w:r>
    <w:r>
      <w:fldChar w:fldCharType="begin"/>
    </w:r>
    <w:r>
      <w:instrText xml:space="preserve"> PAGE </w:instrText>
    </w:r>
    <w:r>
      <w:fldChar w:fldCharType="separate"/>
    </w:r>
    <w:r w:rsidR="000C5103">
      <w:rPr>
        <w:noProof/>
      </w:rPr>
      <w:t>17</w:t>
    </w:r>
    <w:r>
      <w:fldChar w:fldCharType="end"/>
    </w:r>
  </w:p>
  <w:p w14:paraId="1D71A8FC" w14:textId="77777777" w:rsidR="007E33E4" w:rsidRDefault="007E33E4" w:rsidP="00DB2119">
    <w:pPr>
      <w:tabs>
        <w:tab w:val="center" w:pos="4709"/>
        <w:tab w:val="right" w:pos="9360"/>
      </w:tabs>
      <w:spacing w:line="360" w:lineRule="auto"/>
      <w:ind w:right="52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FF7E74" w14:textId="77777777" w:rsidR="00C44872" w:rsidRDefault="00C44872">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80E1EBC"/>
    <w:lvl w:ilvl="0">
      <w:start w:val="1"/>
      <w:numFmt w:val="decimal"/>
      <w:lvlText w:val="%1."/>
      <w:lvlJc w:val="left"/>
      <w:pPr>
        <w:tabs>
          <w:tab w:val="num" w:pos="1492"/>
        </w:tabs>
        <w:ind w:left="1492" w:hanging="360"/>
      </w:pPr>
    </w:lvl>
  </w:abstractNum>
  <w:abstractNum w:abstractNumId="1">
    <w:nsid w:val="FFFFFF7D"/>
    <w:multiLevelType w:val="singleLevel"/>
    <w:tmpl w:val="3F12EADE"/>
    <w:lvl w:ilvl="0">
      <w:start w:val="1"/>
      <w:numFmt w:val="decimal"/>
      <w:lvlText w:val="%1."/>
      <w:lvlJc w:val="left"/>
      <w:pPr>
        <w:tabs>
          <w:tab w:val="num" w:pos="1209"/>
        </w:tabs>
        <w:ind w:left="1209" w:hanging="360"/>
      </w:pPr>
    </w:lvl>
  </w:abstractNum>
  <w:abstractNum w:abstractNumId="2">
    <w:nsid w:val="FFFFFF7E"/>
    <w:multiLevelType w:val="singleLevel"/>
    <w:tmpl w:val="2F26470C"/>
    <w:lvl w:ilvl="0">
      <w:start w:val="1"/>
      <w:numFmt w:val="decimal"/>
      <w:lvlText w:val="%1."/>
      <w:lvlJc w:val="left"/>
      <w:pPr>
        <w:tabs>
          <w:tab w:val="num" w:pos="926"/>
        </w:tabs>
        <w:ind w:left="926" w:hanging="360"/>
      </w:pPr>
    </w:lvl>
  </w:abstractNum>
  <w:abstractNum w:abstractNumId="3">
    <w:nsid w:val="FFFFFF7F"/>
    <w:multiLevelType w:val="singleLevel"/>
    <w:tmpl w:val="651C3B52"/>
    <w:lvl w:ilvl="0">
      <w:start w:val="1"/>
      <w:numFmt w:val="decimal"/>
      <w:lvlText w:val="%1."/>
      <w:lvlJc w:val="left"/>
      <w:pPr>
        <w:tabs>
          <w:tab w:val="num" w:pos="643"/>
        </w:tabs>
        <w:ind w:left="643" w:hanging="360"/>
      </w:pPr>
    </w:lvl>
  </w:abstractNum>
  <w:abstractNum w:abstractNumId="4">
    <w:nsid w:val="FFFFFF80"/>
    <w:multiLevelType w:val="singleLevel"/>
    <w:tmpl w:val="74EAB8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612195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E8070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E6436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4DCE6E8"/>
    <w:lvl w:ilvl="0">
      <w:start w:val="1"/>
      <w:numFmt w:val="decimal"/>
      <w:lvlText w:val="%1."/>
      <w:lvlJc w:val="left"/>
      <w:pPr>
        <w:tabs>
          <w:tab w:val="num" w:pos="360"/>
        </w:tabs>
        <w:ind w:left="360" w:hanging="360"/>
      </w:pPr>
    </w:lvl>
  </w:abstractNum>
  <w:abstractNum w:abstractNumId="9">
    <w:nsid w:val="FFFFFF89"/>
    <w:multiLevelType w:val="singleLevel"/>
    <w:tmpl w:val="9834AE52"/>
    <w:lvl w:ilvl="0">
      <w:start w:val="1"/>
      <w:numFmt w:val="bullet"/>
      <w:lvlText w:val=""/>
      <w:lvlJc w:val="left"/>
      <w:pPr>
        <w:tabs>
          <w:tab w:val="num" w:pos="360"/>
        </w:tabs>
        <w:ind w:left="360" w:hanging="360"/>
      </w:pPr>
      <w:rPr>
        <w:rFonts w:ascii="Symbol" w:hAnsi="Symbol" w:hint="default"/>
      </w:rPr>
    </w:lvl>
  </w:abstractNum>
  <w:abstractNum w:abstractNumId="10">
    <w:nsid w:val="28BB52DE"/>
    <w:multiLevelType w:val="multilevel"/>
    <w:tmpl w:val="79E601F0"/>
    <w:lvl w:ilvl="0">
      <w:start w:val="1"/>
      <w:numFmt w:val="decimal"/>
      <w:pStyle w:val="Paragraphe"/>
      <w:lvlText w:val="[%1]"/>
      <w:lvlJc w:val="left"/>
      <w:pPr>
        <w:tabs>
          <w:tab w:val="num" w:pos="720"/>
        </w:tabs>
        <w:ind w:left="0" w:firstLine="0"/>
      </w:pPr>
      <w:rPr>
        <w:rFonts w:hint="default"/>
      </w:rPr>
    </w:lvl>
    <w:lvl w:ilvl="1">
      <w:start w:val="1"/>
      <w:numFmt w:val="decimal"/>
      <w:pStyle w:val="Sous-paragraphe"/>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A9D1B84"/>
    <w:multiLevelType w:val="multilevel"/>
    <w:tmpl w:val="2766DEE4"/>
    <w:lvl w:ilvl="0">
      <w:start w:val="1"/>
      <w:numFmt w:val="bullet"/>
      <w:lvlText w:val=""/>
      <w:lvlJc w:val="left"/>
      <w:pPr>
        <w:tabs>
          <w:tab w:val="num" w:pos="792"/>
        </w:tabs>
        <w:ind w:left="792" w:hanging="720"/>
      </w:pPr>
      <w:rPr>
        <w:rFonts w:ascii="Symbol" w:hAnsi="Symbol"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609C0DCC"/>
    <w:multiLevelType w:val="multilevel"/>
    <w:tmpl w:val="F11C8164"/>
    <w:lvl w:ilvl="0">
      <w:start w:val="1"/>
      <w:numFmt w:val="decimal"/>
      <w:lvlText w:val="[%1]"/>
      <w:lvlJc w:val="left"/>
      <w:pPr>
        <w:tabs>
          <w:tab w:val="num" w:pos="360"/>
        </w:tabs>
        <w:ind w:left="0" w:firstLine="0"/>
      </w:pPr>
      <w:rPr>
        <w:rFonts w:ascii="Arial" w:hAnsi="Arial" w:hint="default"/>
        <w:b w:val="0"/>
        <w:i w:val="0"/>
        <w:sz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12"/>
  </w:num>
  <w:num w:numId="2">
    <w:abstractNumId w:val="12"/>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2"/>
  </w:num>
  <w:num w:numId="16">
    <w:abstractNumId w:val="12"/>
  </w:num>
  <w:num w:numId="17">
    <w:abstractNumId w:val="11"/>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removePersonalInformation/>
  <w:removeDateAndTime/>
  <w:defaultTabStop w:val="720"/>
  <w:hyphenationZone w:val="425"/>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6D3"/>
    <w:rsid w:val="00003F43"/>
    <w:rsid w:val="00005F75"/>
    <w:rsid w:val="000131E1"/>
    <w:rsid w:val="0001784E"/>
    <w:rsid w:val="00027600"/>
    <w:rsid w:val="0004394C"/>
    <w:rsid w:val="000459E3"/>
    <w:rsid w:val="00053691"/>
    <w:rsid w:val="00060951"/>
    <w:rsid w:val="00074356"/>
    <w:rsid w:val="000A7516"/>
    <w:rsid w:val="000B42AF"/>
    <w:rsid w:val="000C5103"/>
    <w:rsid w:val="000F22C6"/>
    <w:rsid w:val="000F728A"/>
    <w:rsid w:val="00110B53"/>
    <w:rsid w:val="00112321"/>
    <w:rsid w:val="00117914"/>
    <w:rsid w:val="001216D3"/>
    <w:rsid w:val="00121C65"/>
    <w:rsid w:val="001235F0"/>
    <w:rsid w:val="0013028C"/>
    <w:rsid w:val="00134023"/>
    <w:rsid w:val="00137019"/>
    <w:rsid w:val="0014656A"/>
    <w:rsid w:val="0015610F"/>
    <w:rsid w:val="00160B31"/>
    <w:rsid w:val="00164E2C"/>
    <w:rsid w:val="00181F56"/>
    <w:rsid w:val="00190FA7"/>
    <w:rsid w:val="001944BF"/>
    <w:rsid w:val="001972F2"/>
    <w:rsid w:val="001C3698"/>
    <w:rsid w:val="001C47C3"/>
    <w:rsid w:val="001C7DF0"/>
    <w:rsid w:val="001F2A9F"/>
    <w:rsid w:val="00200360"/>
    <w:rsid w:val="00205DC4"/>
    <w:rsid w:val="0021548E"/>
    <w:rsid w:val="002273F5"/>
    <w:rsid w:val="00231661"/>
    <w:rsid w:val="0025233A"/>
    <w:rsid w:val="00275AE9"/>
    <w:rsid w:val="002813F0"/>
    <w:rsid w:val="002951D8"/>
    <w:rsid w:val="002A66B8"/>
    <w:rsid w:val="002B4A07"/>
    <w:rsid w:val="002C4107"/>
    <w:rsid w:val="002D323C"/>
    <w:rsid w:val="002D6BDF"/>
    <w:rsid w:val="002E229C"/>
    <w:rsid w:val="002E51F1"/>
    <w:rsid w:val="002F1350"/>
    <w:rsid w:val="002F6136"/>
    <w:rsid w:val="002F67DA"/>
    <w:rsid w:val="00300A1D"/>
    <w:rsid w:val="0032236A"/>
    <w:rsid w:val="00322DE0"/>
    <w:rsid w:val="0032363D"/>
    <w:rsid w:val="0033190E"/>
    <w:rsid w:val="003420A6"/>
    <w:rsid w:val="00346D7D"/>
    <w:rsid w:val="00347A5C"/>
    <w:rsid w:val="00361325"/>
    <w:rsid w:val="00362374"/>
    <w:rsid w:val="0037380C"/>
    <w:rsid w:val="00374888"/>
    <w:rsid w:val="00374E40"/>
    <w:rsid w:val="00394457"/>
    <w:rsid w:val="003A3C7E"/>
    <w:rsid w:val="003A697A"/>
    <w:rsid w:val="003A78BD"/>
    <w:rsid w:val="003B1531"/>
    <w:rsid w:val="003D487D"/>
    <w:rsid w:val="003E3239"/>
    <w:rsid w:val="003E3E3C"/>
    <w:rsid w:val="003F1730"/>
    <w:rsid w:val="00401CDA"/>
    <w:rsid w:val="00407ABA"/>
    <w:rsid w:val="004234C3"/>
    <w:rsid w:val="00423DF1"/>
    <w:rsid w:val="00430C58"/>
    <w:rsid w:val="00432C0E"/>
    <w:rsid w:val="004331C4"/>
    <w:rsid w:val="0043564D"/>
    <w:rsid w:val="00441C25"/>
    <w:rsid w:val="00446452"/>
    <w:rsid w:val="00451617"/>
    <w:rsid w:val="00462DAF"/>
    <w:rsid w:val="00467244"/>
    <w:rsid w:val="00472DC8"/>
    <w:rsid w:val="004802EC"/>
    <w:rsid w:val="004A21AF"/>
    <w:rsid w:val="004A29F1"/>
    <w:rsid w:val="004A6641"/>
    <w:rsid w:val="004A6BD6"/>
    <w:rsid w:val="004B1E94"/>
    <w:rsid w:val="004B33FF"/>
    <w:rsid w:val="004D2F69"/>
    <w:rsid w:val="004E26B4"/>
    <w:rsid w:val="004E45D1"/>
    <w:rsid w:val="004E4FBA"/>
    <w:rsid w:val="004F47B3"/>
    <w:rsid w:val="004F50C9"/>
    <w:rsid w:val="005131F1"/>
    <w:rsid w:val="0051484F"/>
    <w:rsid w:val="00516B3E"/>
    <w:rsid w:val="005262C9"/>
    <w:rsid w:val="00527548"/>
    <w:rsid w:val="005311CB"/>
    <w:rsid w:val="00531D70"/>
    <w:rsid w:val="00537763"/>
    <w:rsid w:val="00566BF6"/>
    <w:rsid w:val="005758BF"/>
    <w:rsid w:val="00581844"/>
    <w:rsid w:val="00583434"/>
    <w:rsid w:val="0058349F"/>
    <w:rsid w:val="005A78BF"/>
    <w:rsid w:val="005B2A2F"/>
    <w:rsid w:val="005B6B4C"/>
    <w:rsid w:val="005B7689"/>
    <w:rsid w:val="005C7516"/>
    <w:rsid w:val="005D1522"/>
    <w:rsid w:val="005D4412"/>
    <w:rsid w:val="005D4A2D"/>
    <w:rsid w:val="005F0085"/>
    <w:rsid w:val="005F5F5F"/>
    <w:rsid w:val="005F64AB"/>
    <w:rsid w:val="00624770"/>
    <w:rsid w:val="00631E56"/>
    <w:rsid w:val="0064250B"/>
    <w:rsid w:val="00661E04"/>
    <w:rsid w:val="00663AFA"/>
    <w:rsid w:val="00673349"/>
    <w:rsid w:val="006826AA"/>
    <w:rsid w:val="0068356A"/>
    <w:rsid w:val="00685653"/>
    <w:rsid w:val="006A0DB0"/>
    <w:rsid w:val="006A1225"/>
    <w:rsid w:val="006A6629"/>
    <w:rsid w:val="00712271"/>
    <w:rsid w:val="00740A17"/>
    <w:rsid w:val="00745F41"/>
    <w:rsid w:val="007462D6"/>
    <w:rsid w:val="00746BCE"/>
    <w:rsid w:val="0074738B"/>
    <w:rsid w:val="007549A4"/>
    <w:rsid w:val="0076062E"/>
    <w:rsid w:val="007720AC"/>
    <w:rsid w:val="007953F3"/>
    <w:rsid w:val="0079604A"/>
    <w:rsid w:val="007A74D1"/>
    <w:rsid w:val="007A7803"/>
    <w:rsid w:val="007A79D4"/>
    <w:rsid w:val="007B48D5"/>
    <w:rsid w:val="007D087C"/>
    <w:rsid w:val="007E0114"/>
    <w:rsid w:val="007E33E4"/>
    <w:rsid w:val="007E4CC9"/>
    <w:rsid w:val="007F54B3"/>
    <w:rsid w:val="00800D23"/>
    <w:rsid w:val="0081000E"/>
    <w:rsid w:val="00816273"/>
    <w:rsid w:val="00821FD2"/>
    <w:rsid w:val="0082717B"/>
    <w:rsid w:val="00827B04"/>
    <w:rsid w:val="0083032E"/>
    <w:rsid w:val="00841907"/>
    <w:rsid w:val="0086036A"/>
    <w:rsid w:val="008653A3"/>
    <w:rsid w:val="008657A2"/>
    <w:rsid w:val="00866645"/>
    <w:rsid w:val="00882210"/>
    <w:rsid w:val="008924D0"/>
    <w:rsid w:val="00894BFB"/>
    <w:rsid w:val="008A6185"/>
    <w:rsid w:val="008B327F"/>
    <w:rsid w:val="008C1FE9"/>
    <w:rsid w:val="008C7DCE"/>
    <w:rsid w:val="008D18FC"/>
    <w:rsid w:val="008D398B"/>
    <w:rsid w:val="008D3E68"/>
    <w:rsid w:val="008D7E49"/>
    <w:rsid w:val="008E3190"/>
    <w:rsid w:val="008E5B23"/>
    <w:rsid w:val="008E68A3"/>
    <w:rsid w:val="008F364A"/>
    <w:rsid w:val="008F3F53"/>
    <w:rsid w:val="00913E03"/>
    <w:rsid w:val="009229E9"/>
    <w:rsid w:val="00924DAA"/>
    <w:rsid w:val="00926953"/>
    <w:rsid w:val="009352B3"/>
    <w:rsid w:val="00936469"/>
    <w:rsid w:val="009400B7"/>
    <w:rsid w:val="0094427C"/>
    <w:rsid w:val="009507D7"/>
    <w:rsid w:val="00954DC2"/>
    <w:rsid w:val="00957B92"/>
    <w:rsid w:val="009675CE"/>
    <w:rsid w:val="00970966"/>
    <w:rsid w:val="00974442"/>
    <w:rsid w:val="00974721"/>
    <w:rsid w:val="00977831"/>
    <w:rsid w:val="009A0DE0"/>
    <w:rsid w:val="009E000E"/>
    <w:rsid w:val="009E1233"/>
    <w:rsid w:val="009E5231"/>
    <w:rsid w:val="009F1F69"/>
    <w:rsid w:val="00A026D3"/>
    <w:rsid w:val="00A23BF4"/>
    <w:rsid w:val="00A2593B"/>
    <w:rsid w:val="00A31D1F"/>
    <w:rsid w:val="00A34E05"/>
    <w:rsid w:val="00A43D8B"/>
    <w:rsid w:val="00A454F1"/>
    <w:rsid w:val="00A543CC"/>
    <w:rsid w:val="00A75EC0"/>
    <w:rsid w:val="00A91CF6"/>
    <w:rsid w:val="00A93CFF"/>
    <w:rsid w:val="00AB7DD2"/>
    <w:rsid w:val="00AD5274"/>
    <w:rsid w:val="00AD7659"/>
    <w:rsid w:val="00AF0C7C"/>
    <w:rsid w:val="00AF4A35"/>
    <w:rsid w:val="00B01D86"/>
    <w:rsid w:val="00B07E4E"/>
    <w:rsid w:val="00B11FD1"/>
    <w:rsid w:val="00B137E9"/>
    <w:rsid w:val="00B17537"/>
    <w:rsid w:val="00B30EA2"/>
    <w:rsid w:val="00B35872"/>
    <w:rsid w:val="00B36ED3"/>
    <w:rsid w:val="00B4592D"/>
    <w:rsid w:val="00B513C9"/>
    <w:rsid w:val="00B56EF4"/>
    <w:rsid w:val="00B70485"/>
    <w:rsid w:val="00B82A13"/>
    <w:rsid w:val="00B92B76"/>
    <w:rsid w:val="00BA38F0"/>
    <w:rsid w:val="00BB204C"/>
    <w:rsid w:val="00BB5617"/>
    <w:rsid w:val="00BB7212"/>
    <w:rsid w:val="00C02AF8"/>
    <w:rsid w:val="00C17E01"/>
    <w:rsid w:val="00C26339"/>
    <w:rsid w:val="00C31AC4"/>
    <w:rsid w:val="00C406A6"/>
    <w:rsid w:val="00C409BE"/>
    <w:rsid w:val="00C423CA"/>
    <w:rsid w:val="00C43137"/>
    <w:rsid w:val="00C44872"/>
    <w:rsid w:val="00C44DBB"/>
    <w:rsid w:val="00C652ED"/>
    <w:rsid w:val="00C67B3F"/>
    <w:rsid w:val="00C7793C"/>
    <w:rsid w:val="00C85289"/>
    <w:rsid w:val="00C87AC4"/>
    <w:rsid w:val="00C939A8"/>
    <w:rsid w:val="00C97145"/>
    <w:rsid w:val="00CB2E40"/>
    <w:rsid w:val="00CC4E73"/>
    <w:rsid w:val="00CF282A"/>
    <w:rsid w:val="00D010FD"/>
    <w:rsid w:val="00D02812"/>
    <w:rsid w:val="00D040FD"/>
    <w:rsid w:val="00D1575B"/>
    <w:rsid w:val="00D17F60"/>
    <w:rsid w:val="00D20056"/>
    <w:rsid w:val="00D304CB"/>
    <w:rsid w:val="00D36779"/>
    <w:rsid w:val="00D52DF6"/>
    <w:rsid w:val="00D94496"/>
    <w:rsid w:val="00DB2119"/>
    <w:rsid w:val="00DB6BEB"/>
    <w:rsid w:val="00DC05BC"/>
    <w:rsid w:val="00DC48BC"/>
    <w:rsid w:val="00DD3A24"/>
    <w:rsid w:val="00DE38F0"/>
    <w:rsid w:val="00DF1EAF"/>
    <w:rsid w:val="00DF3516"/>
    <w:rsid w:val="00DF3DA0"/>
    <w:rsid w:val="00DF4FAD"/>
    <w:rsid w:val="00E03C07"/>
    <w:rsid w:val="00E20D7A"/>
    <w:rsid w:val="00E20E3C"/>
    <w:rsid w:val="00E36290"/>
    <w:rsid w:val="00E524C8"/>
    <w:rsid w:val="00E73EA7"/>
    <w:rsid w:val="00E81E61"/>
    <w:rsid w:val="00E848B4"/>
    <w:rsid w:val="00E856D4"/>
    <w:rsid w:val="00E91417"/>
    <w:rsid w:val="00E93A17"/>
    <w:rsid w:val="00E94329"/>
    <w:rsid w:val="00EB1377"/>
    <w:rsid w:val="00EC1E33"/>
    <w:rsid w:val="00EC5F50"/>
    <w:rsid w:val="00ED7634"/>
    <w:rsid w:val="00EF7404"/>
    <w:rsid w:val="00F03CC9"/>
    <w:rsid w:val="00F07022"/>
    <w:rsid w:val="00F1073B"/>
    <w:rsid w:val="00F1119E"/>
    <w:rsid w:val="00F237E3"/>
    <w:rsid w:val="00F3015D"/>
    <w:rsid w:val="00F33E30"/>
    <w:rsid w:val="00F34106"/>
    <w:rsid w:val="00F35A34"/>
    <w:rsid w:val="00F40882"/>
    <w:rsid w:val="00F43559"/>
    <w:rsid w:val="00F46920"/>
    <w:rsid w:val="00F5789B"/>
    <w:rsid w:val="00F64372"/>
    <w:rsid w:val="00F75AAB"/>
    <w:rsid w:val="00F75C76"/>
    <w:rsid w:val="00F80C43"/>
    <w:rsid w:val="00F90638"/>
    <w:rsid w:val="00F92D90"/>
    <w:rsid w:val="00F94CD5"/>
    <w:rsid w:val="00FB51E5"/>
    <w:rsid w:val="00FC720B"/>
    <w:rsid w:val="00FE04EF"/>
    <w:rsid w:val="00FE3700"/>
    <w:rsid w:val="00FE3FE9"/>
    <w:rsid w:val="00FE6A10"/>
    <w:rsid w:val="00FF792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2E1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A" w:eastAsia="fr-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80" w:lineRule="exact"/>
    </w:pPr>
    <w:rPr>
      <w:rFonts w:ascii="Arial" w:hAnsi="Arial"/>
      <w:sz w:val="24"/>
      <w:lang w:eastAsia="fr-FR"/>
    </w:rPr>
  </w:style>
  <w:style w:type="paragraph" w:styleId="Titre1">
    <w:name w:val="heading 1"/>
    <w:basedOn w:val="Normal"/>
    <w:next w:val="Normal"/>
    <w:qFormat/>
    <w:pPr>
      <w:keepNext/>
      <w:spacing w:before="240" w:after="60" w:line="500" w:lineRule="exact"/>
      <w:outlineLvl w:val="0"/>
    </w:pPr>
    <w:rPr>
      <w:b/>
      <w:kern w:val="28"/>
      <w:sz w:val="28"/>
    </w:rPr>
  </w:style>
  <w:style w:type="paragraph" w:styleId="Titre2">
    <w:name w:val="heading 2"/>
    <w:basedOn w:val="Normal"/>
    <w:next w:val="Normal"/>
    <w:link w:val="Titre2Car"/>
    <w:qFormat/>
    <w:pPr>
      <w:keepNext/>
      <w:spacing w:before="240" w:after="60"/>
      <w:outlineLvl w:val="1"/>
    </w:pPr>
    <w:rPr>
      <w:b/>
      <w:i/>
    </w:rPr>
  </w:style>
  <w:style w:type="paragraph" w:styleId="Titre3">
    <w:name w:val="heading 3"/>
    <w:basedOn w:val="Normal"/>
    <w:next w:val="Normal"/>
    <w:qFormat/>
    <w:pPr>
      <w:keepNext/>
      <w:spacing w:before="240" w:after="60"/>
      <w:outlineLvl w:val="2"/>
    </w:pPr>
  </w:style>
  <w:style w:type="paragraph" w:styleId="Titre4">
    <w:name w:val="heading 4"/>
    <w:basedOn w:val="Normal"/>
    <w:next w:val="Normal"/>
    <w:qFormat/>
    <w:pPr>
      <w:keepNext/>
      <w:spacing w:before="240" w:after="60"/>
      <w:outlineLvl w:val="3"/>
    </w:pPr>
    <w:rPr>
      <w:b/>
    </w:rPr>
  </w:style>
  <w:style w:type="paragraph" w:styleId="Titre5">
    <w:name w:val="heading 5"/>
    <w:basedOn w:val="Normal"/>
    <w:next w:val="Normal"/>
    <w:qFormat/>
    <w:pPr>
      <w:spacing w:before="240" w:after="60"/>
      <w:outlineLvl w:val="4"/>
    </w:pPr>
    <w:rPr>
      <w:sz w:val="22"/>
    </w:rPr>
  </w:style>
  <w:style w:type="paragraph" w:styleId="Titre6">
    <w:name w:val="heading 6"/>
    <w:basedOn w:val="Normal"/>
    <w:next w:val="Normal"/>
    <w:qFormat/>
    <w:pPr>
      <w:spacing w:before="240" w:after="60"/>
      <w:outlineLvl w:val="5"/>
    </w:pPr>
    <w:rPr>
      <w:i/>
      <w:sz w:val="22"/>
    </w:rPr>
  </w:style>
  <w:style w:type="paragraph" w:styleId="Titre7">
    <w:name w:val="heading 7"/>
    <w:basedOn w:val="Normal"/>
    <w:next w:val="Normal"/>
    <w:qFormat/>
    <w:pPr>
      <w:spacing w:before="240" w:after="60"/>
      <w:outlineLvl w:val="6"/>
    </w:pPr>
    <w:rPr>
      <w:sz w:val="20"/>
    </w:rPr>
  </w:style>
  <w:style w:type="paragraph" w:styleId="Titre8">
    <w:name w:val="heading 8"/>
    <w:basedOn w:val="Normal"/>
    <w:next w:val="Normal"/>
    <w:qFormat/>
    <w:pPr>
      <w:spacing w:before="240" w:after="60"/>
      <w:outlineLvl w:val="7"/>
    </w:pPr>
    <w:rPr>
      <w:i/>
      <w:sz w:val="20"/>
    </w:rPr>
  </w:style>
  <w:style w:type="paragraph" w:styleId="Titre9">
    <w:name w:val="heading 9"/>
    <w:basedOn w:val="Normal"/>
    <w:next w:val="Normal"/>
    <w:qFormat/>
    <w:pPr>
      <w:spacing w:before="240" w:after="60"/>
      <w:outlineLvl w:val="8"/>
    </w:pPr>
    <w:rPr>
      <w:b/>
      <w:i/>
      <w:sz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e">
    <w:name w:val="Paragraphe"/>
    <w:basedOn w:val="Normal"/>
    <w:link w:val="ParagrapheCar"/>
    <w:qFormat/>
    <w:pPr>
      <w:numPr>
        <w:numId w:val="18"/>
      </w:numPr>
      <w:spacing w:before="120" w:after="120" w:line="500" w:lineRule="exact"/>
      <w:jc w:val="both"/>
    </w:pPr>
    <w:rPr>
      <w:kern w:val="28"/>
    </w:rPr>
  </w:style>
  <w:style w:type="paragraph" w:customStyle="1" w:styleId="Citationenretrait">
    <w:name w:val="Citation en retrait"/>
    <w:basedOn w:val="Normal"/>
    <w:link w:val="CitationenretraitCar"/>
    <w:pPr>
      <w:spacing w:before="120" w:after="120"/>
      <w:ind w:left="720" w:right="720"/>
      <w:jc w:val="both"/>
    </w:pPr>
    <w:rPr>
      <w:kern w:val="24"/>
      <w:sz w:val="22"/>
    </w:rPr>
  </w:style>
  <w:style w:type="character" w:customStyle="1" w:styleId="Citationintgre">
    <w:name w:val="Citation intégrée"/>
    <w:rPr>
      <w:rFonts w:ascii="Arial" w:hAnsi="Arial"/>
      <w:i/>
      <w:noProof w:val="0"/>
      <w:sz w:val="22"/>
      <w:lang w:val="fr-CA"/>
    </w:rPr>
  </w:style>
  <w:style w:type="paragraph" w:styleId="Corpsdetexte">
    <w:name w:val="Body Text"/>
    <w:basedOn w:val="Normal"/>
    <w:semiHidden/>
    <w:pPr>
      <w:spacing w:after="120"/>
    </w:pPr>
  </w:style>
  <w:style w:type="paragraph" w:styleId="Notedebasdepage">
    <w:name w:val="footnote text"/>
    <w:basedOn w:val="Normal"/>
    <w:semiHidden/>
    <w:pPr>
      <w:spacing w:line="240" w:lineRule="auto"/>
      <w:ind w:left="360" w:hanging="360"/>
      <w:jc w:val="both"/>
    </w:pPr>
    <w:rPr>
      <w:sz w:val="20"/>
    </w:rPr>
  </w:style>
  <w:style w:type="paragraph" w:styleId="Notedefin">
    <w:name w:val="endnote text"/>
    <w:basedOn w:val="Normal"/>
    <w:semiHidden/>
    <w:pPr>
      <w:ind w:left="-360"/>
      <w:jc w:val="both"/>
    </w:pPr>
    <w:rPr>
      <w:sz w:val="20"/>
    </w:rPr>
  </w:style>
  <w:style w:type="paragraph" w:customStyle="1" w:styleId="zSoquijlblCour">
    <w:name w:val="zSoquij_lblCour"/>
    <w:basedOn w:val="Normal"/>
    <w:pPr>
      <w:spacing w:line="500" w:lineRule="exact"/>
      <w:jc w:val="center"/>
    </w:pPr>
    <w:rPr>
      <w:b/>
      <w:sz w:val="36"/>
    </w:rPr>
  </w:style>
  <w:style w:type="paragraph" w:customStyle="1" w:styleId="zSoquijlblPays">
    <w:name w:val="zSoquij_lblPays"/>
    <w:basedOn w:val="Normal"/>
  </w:style>
  <w:style w:type="paragraph" w:customStyle="1" w:styleId="zSoquijlblProvince">
    <w:name w:val="zSoquij_lblProvince"/>
    <w:basedOn w:val="Normal"/>
  </w:style>
  <w:style w:type="paragraph" w:customStyle="1" w:styleId="zSoquijlblGreffe">
    <w:name w:val="zSoquij_lblGreffe"/>
    <w:basedOn w:val="Normal"/>
  </w:style>
  <w:style w:type="paragraph" w:customStyle="1" w:styleId="zSoquijdatGreffe">
    <w:name w:val="zSoquij_datGreffe"/>
    <w:basedOn w:val="Normal"/>
  </w:style>
  <w:style w:type="paragraph" w:customStyle="1" w:styleId="zSoquijdatDivision">
    <w:name w:val="zSoquij_datDivision"/>
    <w:basedOn w:val="Normal"/>
    <w:pPr>
      <w:jc w:val="center"/>
    </w:pPr>
    <w:rPr>
      <w:sz w:val="22"/>
    </w:rPr>
  </w:style>
  <w:style w:type="paragraph" w:customStyle="1" w:styleId="zSoquijlblNoDossier">
    <w:name w:val="zSoquij_lblNoDossier"/>
    <w:basedOn w:val="Normal"/>
  </w:style>
  <w:style w:type="paragraph" w:customStyle="1" w:styleId="zSoquijdatNoDossier">
    <w:name w:val="zSoquij_datNoDossier"/>
    <w:basedOn w:val="Normal"/>
  </w:style>
  <w:style w:type="paragraph" w:customStyle="1" w:styleId="zSoquijdatNoDossierAnt">
    <w:name w:val="zSoquij_datNoDossierAnt"/>
    <w:basedOn w:val="Normal"/>
    <w:pPr>
      <w:ind w:left="950"/>
    </w:pPr>
  </w:style>
  <w:style w:type="paragraph" w:customStyle="1" w:styleId="zSoquijdatDateJugement">
    <w:name w:val="zSoquij_datDateJugement"/>
    <w:basedOn w:val="Normal"/>
  </w:style>
  <w:style w:type="paragraph" w:customStyle="1" w:styleId="zSoquijlblDateJugement">
    <w:name w:val="zSoquij_lblDateJugement"/>
    <w:basedOn w:val="Normal"/>
  </w:style>
  <w:style w:type="paragraph" w:customStyle="1" w:styleId="zSoquijlblJuge">
    <w:name w:val="zSoquij_lblJuge"/>
    <w:basedOn w:val="Normal"/>
    <w:rPr>
      <w:b/>
    </w:rPr>
  </w:style>
  <w:style w:type="paragraph" w:customStyle="1" w:styleId="zSoquijdatQteJuge">
    <w:name w:val="zSoquij_datQteJuge"/>
    <w:basedOn w:val="Normal"/>
    <w:rPr>
      <w:b/>
    </w:rPr>
  </w:style>
  <w:style w:type="paragraph" w:customStyle="1" w:styleId="zSoquijdatJuge">
    <w:name w:val="zSoquij_datJuge"/>
    <w:basedOn w:val="Normal"/>
    <w:rPr>
      <w:b/>
    </w:rPr>
  </w:style>
  <w:style w:type="paragraph" w:customStyle="1" w:styleId="zSoquijdatNomPartieDem">
    <w:name w:val="zSoquij_datNomPartieDem"/>
    <w:basedOn w:val="Normal"/>
    <w:rPr>
      <w:b/>
      <w:bCs/>
    </w:rPr>
  </w:style>
  <w:style w:type="paragraph" w:customStyle="1" w:styleId="zSoquijdatQtePartieDem">
    <w:name w:val="zSoquij_datQtePartieDem"/>
    <w:basedOn w:val="Normal"/>
    <w:pPr>
      <w:ind w:left="708"/>
    </w:pPr>
  </w:style>
  <w:style w:type="paragraph" w:customStyle="1" w:styleId="zSoquijlblLienParties">
    <w:name w:val="zSoquij_lblLienParties"/>
    <w:basedOn w:val="Normal"/>
  </w:style>
  <w:style w:type="paragraph" w:customStyle="1" w:styleId="zSoquijdatNomPartieDef">
    <w:name w:val="zSoquij_datNomPartieDef"/>
    <w:basedOn w:val="Normal"/>
    <w:rPr>
      <w:b/>
      <w:bCs/>
    </w:rPr>
  </w:style>
  <w:style w:type="paragraph" w:customStyle="1" w:styleId="zSoquijdatQtePartieDef">
    <w:name w:val="zSoquij_datQtePartieDef"/>
    <w:basedOn w:val="Normal"/>
    <w:pPr>
      <w:ind w:left="708"/>
    </w:pPr>
  </w:style>
  <w:style w:type="paragraph" w:customStyle="1" w:styleId="zSoquijlblTypeDocument">
    <w:name w:val="zSoquij_lblTypeDocument"/>
    <w:basedOn w:val="Normal"/>
    <w:pPr>
      <w:jc w:val="center"/>
    </w:pPr>
  </w:style>
  <w:style w:type="paragraph" w:customStyle="1" w:styleId="zSoquijlblProcureurDem">
    <w:name w:val="zSoquij_lblProcureurDem"/>
    <w:basedOn w:val="Normal"/>
  </w:style>
  <w:style w:type="paragraph" w:customStyle="1" w:styleId="zSoquijlblProcureurDef">
    <w:name w:val="zSoquij_lblProcureurDef"/>
    <w:basedOn w:val="Normal"/>
  </w:style>
  <w:style w:type="paragraph" w:customStyle="1" w:styleId="zSoquijlblDateAudience">
    <w:name w:val="zSoquij_lblDateAudience"/>
    <w:basedOn w:val="Normal"/>
  </w:style>
  <w:style w:type="paragraph" w:customStyle="1" w:styleId="zSoquijdatDateAudience">
    <w:name w:val="zSoquij_datDateAudience"/>
    <w:basedOn w:val="Normal"/>
  </w:style>
  <w:style w:type="paragraph" w:customStyle="1" w:styleId="zSoquijlblNomChambre">
    <w:name w:val="zSoquij_lblNomChambre"/>
    <w:basedOn w:val="Normal"/>
  </w:style>
  <w:style w:type="paragraph" w:customStyle="1" w:styleId="zSoquijlblOpinionJuge">
    <w:name w:val="zSoquij_lblOpinionJuge"/>
    <w:basedOn w:val="Normal"/>
    <w:pPr>
      <w:jc w:val="center"/>
    </w:pPr>
  </w:style>
  <w:style w:type="character" w:customStyle="1" w:styleId="zSoquijlblEntNoDossier">
    <w:name w:val="zSoquij_lblEntNoDossier"/>
    <w:basedOn w:val="Policepardfaut"/>
    <w:rPr>
      <w:noProof w:val="0"/>
      <w:lang w:val="fr-CA"/>
    </w:rPr>
  </w:style>
  <w:style w:type="paragraph" w:customStyle="1" w:styleId="zSoquijlblTitrePartie">
    <w:name w:val="zSoquij_lblTitrePartie"/>
    <w:basedOn w:val="Normal"/>
  </w:style>
  <w:style w:type="paragraph" w:customStyle="1" w:styleId="zSoquijdatIdJuge">
    <w:name w:val="zSoquij_datIdJuge"/>
    <w:basedOn w:val="Normal"/>
    <w:pPr>
      <w:jc w:val="right"/>
    </w:pPr>
  </w:style>
  <w:style w:type="paragraph" w:customStyle="1" w:styleId="Sous-paragraphe">
    <w:name w:val="Sous-paragraphe"/>
    <w:basedOn w:val="Normal"/>
    <w:qFormat/>
    <w:pPr>
      <w:widowControl w:val="0"/>
      <w:numPr>
        <w:ilvl w:val="1"/>
        <w:numId w:val="18"/>
      </w:numPr>
      <w:spacing w:after="120"/>
      <w:jc w:val="both"/>
    </w:pPr>
    <w:rPr>
      <w:kern w:val="28"/>
    </w:rPr>
  </w:style>
  <w:style w:type="paragraph" w:customStyle="1" w:styleId="zSoquijdatNomProcureurDem">
    <w:name w:val="zSoquij_datNomProcureurDem"/>
    <w:basedOn w:val="zSoquijlblProcureurDem"/>
    <w:pPr>
      <w:keepNext/>
    </w:pPr>
  </w:style>
  <w:style w:type="paragraph" w:customStyle="1" w:styleId="zSoquijdatNomProcureurDef">
    <w:name w:val="zSoquij_datNomProcureurDef"/>
    <w:basedOn w:val="zSoquijlblProcureurDef"/>
    <w:pPr>
      <w:keepNext/>
    </w:pPr>
  </w:style>
  <w:style w:type="paragraph" w:customStyle="1" w:styleId="zSoquijdatCabinetProcureurDem">
    <w:name w:val="zSoquij_datCabinetProcureurDem"/>
    <w:basedOn w:val="Normal"/>
    <w:pPr>
      <w:keepNext/>
    </w:pPr>
  </w:style>
  <w:style w:type="paragraph" w:customStyle="1" w:styleId="zSoquijdatCabinetProcureurDef">
    <w:name w:val="zSoquij_datCabinetProcureurDef"/>
    <w:basedOn w:val="zSoquijlblProcureurDef"/>
    <w:pPr>
      <w:keepNext/>
    </w:pPr>
  </w:style>
  <w:style w:type="paragraph" w:styleId="En-tte">
    <w:name w:val="header"/>
    <w:basedOn w:val="Normal"/>
    <w:semiHidden/>
    <w:pPr>
      <w:tabs>
        <w:tab w:val="center" w:pos="4320"/>
        <w:tab w:val="right" w:pos="8640"/>
      </w:tabs>
    </w:pPr>
  </w:style>
  <w:style w:type="paragraph" w:styleId="Pieddepage">
    <w:name w:val="footer"/>
    <w:basedOn w:val="Normal"/>
    <w:semiHidden/>
    <w:pPr>
      <w:tabs>
        <w:tab w:val="center" w:pos="4320"/>
        <w:tab w:val="right" w:pos="8640"/>
      </w:tabs>
    </w:pPr>
  </w:style>
  <w:style w:type="paragraph" w:customStyle="1" w:styleId="Tableaudroiteanglais">
    <w:name w:val="Tableau droite anglais"/>
    <w:basedOn w:val="Tableaugauchefranais"/>
    <w:pPr>
      <w:ind w:left="144" w:right="720"/>
      <w:jc w:val="both"/>
    </w:pPr>
    <w:rPr>
      <w:lang w:val="en-CA"/>
    </w:rPr>
  </w:style>
  <w:style w:type="paragraph" w:customStyle="1" w:styleId="Tableaugauchefranais">
    <w:name w:val="Tableau gauche français"/>
    <w:basedOn w:val="Normal"/>
    <w:pPr>
      <w:ind w:left="720" w:right="144"/>
    </w:pPr>
    <w:rPr>
      <w:sz w:val="22"/>
    </w:rPr>
  </w:style>
  <w:style w:type="character" w:styleId="Appelnotedebasdep">
    <w:name w:val="footnote reference"/>
    <w:semiHidden/>
    <w:rPr>
      <w:noProof w:val="0"/>
      <w:vertAlign w:val="superscript"/>
      <w:lang w:val="fr-CA"/>
    </w:rPr>
  </w:style>
  <w:style w:type="paragraph" w:styleId="Corpsdetexte3">
    <w:name w:val="Body Text 3"/>
    <w:basedOn w:val="Normal"/>
    <w:semiHidden/>
    <w:pPr>
      <w:spacing w:after="120"/>
    </w:pPr>
    <w:rPr>
      <w:sz w:val="16"/>
    </w:rPr>
  </w:style>
  <w:style w:type="paragraph" w:customStyle="1" w:styleId="zSoquijdatRepertorie">
    <w:name w:val="zSoquij_datRepertorie"/>
    <w:basedOn w:val="zSoquijlblCour"/>
    <w:pPr>
      <w:spacing w:line="240" w:lineRule="auto"/>
      <w:jc w:val="left"/>
    </w:pPr>
    <w:rPr>
      <w:sz w:val="22"/>
    </w:rPr>
  </w:style>
  <w:style w:type="paragraph" w:customStyle="1" w:styleId="zSoquijdatRefNeutre">
    <w:name w:val="zSoquij_datRefNeutre"/>
    <w:basedOn w:val="zSoquijlblCour"/>
    <w:pPr>
      <w:spacing w:line="240" w:lineRule="auto"/>
      <w:jc w:val="left"/>
    </w:pPr>
    <w:rPr>
      <w:sz w:val="22"/>
    </w:rPr>
  </w:style>
  <w:style w:type="table" w:styleId="Grilledutableau">
    <w:name w:val="Table Grid"/>
    <w:basedOn w:val="TableauNormal"/>
    <w:uiPriority w:val="39"/>
    <w:rsid w:val="00E20E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3E3239"/>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E3239"/>
    <w:rPr>
      <w:rFonts w:ascii="Segoe UI" w:hAnsi="Segoe UI" w:cs="Segoe UI"/>
      <w:sz w:val="18"/>
      <w:szCs w:val="18"/>
      <w:lang w:eastAsia="fr-FR"/>
    </w:rPr>
  </w:style>
  <w:style w:type="character" w:customStyle="1" w:styleId="Titre2Car">
    <w:name w:val="Titre 2 Car"/>
    <w:basedOn w:val="Policepardfaut"/>
    <w:link w:val="Titre2"/>
    <w:rsid w:val="00B92B76"/>
    <w:rPr>
      <w:rFonts w:ascii="Arial" w:hAnsi="Arial"/>
      <w:b/>
      <w:i/>
      <w:sz w:val="24"/>
      <w:lang w:eastAsia="fr-FR"/>
    </w:rPr>
  </w:style>
  <w:style w:type="character" w:customStyle="1" w:styleId="ParagrapheCar">
    <w:name w:val="Paragraphe Car"/>
    <w:link w:val="Paragraphe"/>
    <w:qFormat/>
    <w:locked/>
    <w:rsid w:val="00B92B76"/>
    <w:rPr>
      <w:rFonts w:ascii="Arial" w:hAnsi="Arial"/>
      <w:kern w:val="28"/>
      <w:sz w:val="24"/>
      <w:lang w:eastAsia="fr-FR"/>
    </w:rPr>
  </w:style>
  <w:style w:type="character" w:customStyle="1" w:styleId="CitationenretraitCar">
    <w:name w:val="Citation en retrait Car"/>
    <w:link w:val="Citationenretrait"/>
    <w:locked/>
    <w:rsid w:val="00B92B76"/>
    <w:rPr>
      <w:rFonts w:ascii="Arial" w:hAnsi="Arial"/>
      <w:kern w:val="24"/>
      <w:sz w:val="22"/>
      <w:lang w:eastAsia="fr-FR"/>
    </w:rPr>
  </w:style>
  <w:style w:type="character" w:customStyle="1" w:styleId="canliisubsection">
    <w:name w:val="canlii_subsection"/>
    <w:basedOn w:val="Policepardfaut"/>
    <w:rsid w:val="00B92B76"/>
  </w:style>
  <w:style w:type="character" w:customStyle="1" w:styleId="lawlabel">
    <w:name w:val="lawlabel"/>
    <w:basedOn w:val="Policepardfaut"/>
    <w:rsid w:val="00B92B76"/>
  </w:style>
  <w:style w:type="paragraph" w:customStyle="1" w:styleId="Default">
    <w:name w:val="Default"/>
    <w:rsid w:val="00B92B76"/>
    <w:pPr>
      <w:autoSpaceDE w:val="0"/>
      <w:autoSpaceDN w:val="0"/>
      <w:adjustRightInd w:val="0"/>
    </w:pPr>
    <w:rPr>
      <w:rFonts w:ascii="Arial" w:hAnsi="Arial" w:cs="Arial"/>
      <w:color w:val="000000"/>
      <w:sz w:val="24"/>
      <w:szCs w:val="24"/>
    </w:rPr>
  </w:style>
  <w:style w:type="character" w:styleId="Marquedecommentaire">
    <w:name w:val="annotation reference"/>
    <w:basedOn w:val="Policepardfaut"/>
    <w:uiPriority w:val="99"/>
    <w:semiHidden/>
    <w:unhideWhenUsed/>
    <w:rsid w:val="00B92B76"/>
    <w:rPr>
      <w:sz w:val="16"/>
      <w:szCs w:val="16"/>
    </w:rPr>
  </w:style>
  <w:style w:type="paragraph" w:styleId="Commentaire">
    <w:name w:val="annotation text"/>
    <w:basedOn w:val="Normal"/>
    <w:link w:val="CommentaireCar"/>
    <w:uiPriority w:val="99"/>
    <w:unhideWhenUsed/>
    <w:rsid w:val="00B92B76"/>
    <w:pPr>
      <w:spacing w:line="240" w:lineRule="auto"/>
    </w:pPr>
    <w:rPr>
      <w:sz w:val="20"/>
    </w:rPr>
  </w:style>
  <w:style w:type="character" w:customStyle="1" w:styleId="CommentaireCar">
    <w:name w:val="Commentaire Car"/>
    <w:basedOn w:val="Policepardfaut"/>
    <w:link w:val="Commentaire"/>
    <w:uiPriority w:val="99"/>
    <w:rsid w:val="00B92B76"/>
    <w:rPr>
      <w:rFonts w:ascii="Arial" w:hAnsi="Arial"/>
      <w:lang w:eastAsia="fr-FR"/>
    </w:rPr>
  </w:style>
  <w:style w:type="paragraph" w:styleId="Objetducommentaire">
    <w:name w:val="annotation subject"/>
    <w:basedOn w:val="Commentaire"/>
    <w:next w:val="Commentaire"/>
    <w:link w:val="ObjetducommentaireCar"/>
    <w:uiPriority w:val="99"/>
    <w:semiHidden/>
    <w:unhideWhenUsed/>
    <w:rsid w:val="00B92B76"/>
    <w:rPr>
      <w:b/>
      <w:bCs/>
    </w:rPr>
  </w:style>
  <w:style w:type="character" w:customStyle="1" w:styleId="ObjetducommentaireCar">
    <w:name w:val="Objet du commentaire Car"/>
    <w:basedOn w:val="CommentaireCar"/>
    <w:link w:val="Objetducommentaire"/>
    <w:uiPriority w:val="99"/>
    <w:semiHidden/>
    <w:rsid w:val="00B92B76"/>
    <w:rPr>
      <w:rFonts w:ascii="Arial" w:hAnsi="Arial"/>
      <w:b/>
      <w:bCs/>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CA" w:eastAsia="fr-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80" w:lineRule="exact"/>
    </w:pPr>
    <w:rPr>
      <w:rFonts w:ascii="Arial" w:hAnsi="Arial"/>
      <w:sz w:val="24"/>
      <w:lang w:eastAsia="fr-FR"/>
    </w:rPr>
  </w:style>
  <w:style w:type="paragraph" w:styleId="Titre1">
    <w:name w:val="heading 1"/>
    <w:basedOn w:val="Normal"/>
    <w:next w:val="Normal"/>
    <w:qFormat/>
    <w:pPr>
      <w:keepNext/>
      <w:spacing w:before="240" w:after="60" w:line="500" w:lineRule="exact"/>
      <w:outlineLvl w:val="0"/>
    </w:pPr>
    <w:rPr>
      <w:b/>
      <w:kern w:val="28"/>
      <w:sz w:val="28"/>
    </w:rPr>
  </w:style>
  <w:style w:type="paragraph" w:styleId="Titre2">
    <w:name w:val="heading 2"/>
    <w:basedOn w:val="Normal"/>
    <w:next w:val="Normal"/>
    <w:link w:val="Titre2Car"/>
    <w:qFormat/>
    <w:pPr>
      <w:keepNext/>
      <w:spacing w:before="240" w:after="60"/>
      <w:outlineLvl w:val="1"/>
    </w:pPr>
    <w:rPr>
      <w:b/>
      <w:i/>
    </w:rPr>
  </w:style>
  <w:style w:type="paragraph" w:styleId="Titre3">
    <w:name w:val="heading 3"/>
    <w:basedOn w:val="Normal"/>
    <w:next w:val="Normal"/>
    <w:qFormat/>
    <w:pPr>
      <w:keepNext/>
      <w:spacing w:before="240" w:after="60"/>
      <w:outlineLvl w:val="2"/>
    </w:pPr>
  </w:style>
  <w:style w:type="paragraph" w:styleId="Titre4">
    <w:name w:val="heading 4"/>
    <w:basedOn w:val="Normal"/>
    <w:next w:val="Normal"/>
    <w:qFormat/>
    <w:pPr>
      <w:keepNext/>
      <w:spacing w:before="240" w:after="60"/>
      <w:outlineLvl w:val="3"/>
    </w:pPr>
    <w:rPr>
      <w:b/>
    </w:rPr>
  </w:style>
  <w:style w:type="paragraph" w:styleId="Titre5">
    <w:name w:val="heading 5"/>
    <w:basedOn w:val="Normal"/>
    <w:next w:val="Normal"/>
    <w:qFormat/>
    <w:pPr>
      <w:spacing w:before="240" w:after="60"/>
      <w:outlineLvl w:val="4"/>
    </w:pPr>
    <w:rPr>
      <w:sz w:val="22"/>
    </w:rPr>
  </w:style>
  <w:style w:type="paragraph" w:styleId="Titre6">
    <w:name w:val="heading 6"/>
    <w:basedOn w:val="Normal"/>
    <w:next w:val="Normal"/>
    <w:qFormat/>
    <w:pPr>
      <w:spacing w:before="240" w:after="60"/>
      <w:outlineLvl w:val="5"/>
    </w:pPr>
    <w:rPr>
      <w:i/>
      <w:sz w:val="22"/>
    </w:rPr>
  </w:style>
  <w:style w:type="paragraph" w:styleId="Titre7">
    <w:name w:val="heading 7"/>
    <w:basedOn w:val="Normal"/>
    <w:next w:val="Normal"/>
    <w:qFormat/>
    <w:pPr>
      <w:spacing w:before="240" w:after="60"/>
      <w:outlineLvl w:val="6"/>
    </w:pPr>
    <w:rPr>
      <w:sz w:val="20"/>
    </w:rPr>
  </w:style>
  <w:style w:type="paragraph" w:styleId="Titre8">
    <w:name w:val="heading 8"/>
    <w:basedOn w:val="Normal"/>
    <w:next w:val="Normal"/>
    <w:qFormat/>
    <w:pPr>
      <w:spacing w:before="240" w:after="60"/>
      <w:outlineLvl w:val="7"/>
    </w:pPr>
    <w:rPr>
      <w:i/>
      <w:sz w:val="20"/>
    </w:rPr>
  </w:style>
  <w:style w:type="paragraph" w:styleId="Titre9">
    <w:name w:val="heading 9"/>
    <w:basedOn w:val="Normal"/>
    <w:next w:val="Normal"/>
    <w:qFormat/>
    <w:pPr>
      <w:spacing w:before="240" w:after="60"/>
      <w:outlineLvl w:val="8"/>
    </w:pPr>
    <w:rPr>
      <w:b/>
      <w:i/>
      <w:sz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e">
    <w:name w:val="Paragraphe"/>
    <w:basedOn w:val="Normal"/>
    <w:link w:val="ParagrapheCar"/>
    <w:qFormat/>
    <w:pPr>
      <w:numPr>
        <w:numId w:val="18"/>
      </w:numPr>
      <w:spacing w:before="120" w:after="120" w:line="500" w:lineRule="exact"/>
      <w:jc w:val="both"/>
    </w:pPr>
    <w:rPr>
      <w:kern w:val="28"/>
    </w:rPr>
  </w:style>
  <w:style w:type="paragraph" w:customStyle="1" w:styleId="Citationenretrait">
    <w:name w:val="Citation en retrait"/>
    <w:basedOn w:val="Normal"/>
    <w:link w:val="CitationenretraitCar"/>
    <w:pPr>
      <w:spacing w:before="120" w:after="120"/>
      <w:ind w:left="720" w:right="720"/>
      <w:jc w:val="both"/>
    </w:pPr>
    <w:rPr>
      <w:kern w:val="24"/>
      <w:sz w:val="22"/>
    </w:rPr>
  </w:style>
  <w:style w:type="character" w:customStyle="1" w:styleId="Citationintgre">
    <w:name w:val="Citation intégrée"/>
    <w:rPr>
      <w:rFonts w:ascii="Arial" w:hAnsi="Arial"/>
      <w:i/>
      <w:noProof w:val="0"/>
      <w:sz w:val="22"/>
      <w:lang w:val="fr-CA"/>
    </w:rPr>
  </w:style>
  <w:style w:type="paragraph" w:styleId="Corpsdetexte">
    <w:name w:val="Body Text"/>
    <w:basedOn w:val="Normal"/>
    <w:semiHidden/>
    <w:pPr>
      <w:spacing w:after="120"/>
    </w:pPr>
  </w:style>
  <w:style w:type="paragraph" w:styleId="Notedebasdepage">
    <w:name w:val="footnote text"/>
    <w:basedOn w:val="Normal"/>
    <w:semiHidden/>
    <w:pPr>
      <w:spacing w:line="240" w:lineRule="auto"/>
      <w:ind w:left="360" w:hanging="360"/>
      <w:jc w:val="both"/>
    </w:pPr>
    <w:rPr>
      <w:sz w:val="20"/>
    </w:rPr>
  </w:style>
  <w:style w:type="paragraph" w:styleId="Notedefin">
    <w:name w:val="endnote text"/>
    <w:basedOn w:val="Normal"/>
    <w:semiHidden/>
    <w:pPr>
      <w:ind w:left="-360"/>
      <w:jc w:val="both"/>
    </w:pPr>
    <w:rPr>
      <w:sz w:val="20"/>
    </w:rPr>
  </w:style>
  <w:style w:type="paragraph" w:customStyle="1" w:styleId="zSoquijlblCour">
    <w:name w:val="zSoquij_lblCour"/>
    <w:basedOn w:val="Normal"/>
    <w:pPr>
      <w:spacing w:line="500" w:lineRule="exact"/>
      <w:jc w:val="center"/>
    </w:pPr>
    <w:rPr>
      <w:b/>
      <w:sz w:val="36"/>
    </w:rPr>
  </w:style>
  <w:style w:type="paragraph" w:customStyle="1" w:styleId="zSoquijlblPays">
    <w:name w:val="zSoquij_lblPays"/>
    <w:basedOn w:val="Normal"/>
  </w:style>
  <w:style w:type="paragraph" w:customStyle="1" w:styleId="zSoquijlblProvince">
    <w:name w:val="zSoquij_lblProvince"/>
    <w:basedOn w:val="Normal"/>
  </w:style>
  <w:style w:type="paragraph" w:customStyle="1" w:styleId="zSoquijlblGreffe">
    <w:name w:val="zSoquij_lblGreffe"/>
    <w:basedOn w:val="Normal"/>
  </w:style>
  <w:style w:type="paragraph" w:customStyle="1" w:styleId="zSoquijdatGreffe">
    <w:name w:val="zSoquij_datGreffe"/>
    <w:basedOn w:val="Normal"/>
  </w:style>
  <w:style w:type="paragraph" w:customStyle="1" w:styleId="zSoquijdatDivision">
    <w:name w:val="zSoquij_datDivision"/>
    <w:basedOn w:val="Normal"/>
    <w:pPr>
      <w:jc w:val="center"/>
    </w:pPr>
    <w:rPr>
      <w:sz w:val="22"/>
    </w:rPr>
  </w:style>
  <w:style w:type="paragraph" w:customStyle="1" w:styleId="zSoquijlblNoDossier">
    <w:name w:val="zSoquij_lblNoDossier"/>
    <w:basedOn w:val="Normal"/>
  </w:style>
  <w:style w:type="paragraph" w:customStyle="1" w:styleId="zSoquijdatNoDossier">
    <w:name w:val="zSoquij_datNoDossier"/>
    <w:basedOn w:val="Normal"/>
  </w:style>
  <w:style w:type="paragraph" w:customStyle="1" w:styleId="zSoquijdatNoDossierAnt">
    <w:name w:val="zSoquij_datNoDossierAnt"/>
    <w:basedOn w:val="Normal"/>
    <w:pPr>
      <w:ind w:left="950"/>
    </w:pPr>
  </w:style>
  <w:style w:type="paragraph" w:customStyle="1" w:styleId="zSoquijdatDateJugement">
    <w:name w:val="zSoquij_datDateJugement"/>
    <w:basedOn w:val="Normal"/>
  </w:style>
  <w:style w:type="paragraph" w:customStyle="1" w:styleId="zSoquijlblDateJugement">
    <w:name w:val="zSoquij_lblDateJugement"/>
    <w:basedOn w:val="Normal"/>
  </w:style>
  <w:style w:type="paragraph" w:customStyle="1" w:styleId="zSoquijlblJuge">
    <w:name w:val="zSoquij_lblJuge"/>
    <w:basedOn w:val="Normal"/>
    <w:rPr>
      <w:b/>
    </w:rPr>
  </w:style>
  <w:style w:type="paragraph" w:customStyle="1" w:styleId="zSoquijdatQteJuge">
    <w:name w:val="zSoquij_datQteJuge"/>
    <w:basedOn w:val="Normal"/>
    <w:rPr>
      <w:b/>
    </w:rPr>
  </w:style>
  <w:style w:type="paragraph" w:customStyle="1" w:styleId="zSoquijdatJuge">
    <w:name w:val="zSoquij_datJuge"/>
    <w:basedOn w:val="Normal"/>
    <w:rPr>
      <w:b/>
    </w:rPr>
  </w:style>
  <w:style w:type="paragraph" w:customStyle="1" w:styleId="zSoquijdatNomPartieDem">
    <w:name w:val="zSoquij_datNomPartieDem"/>
    <w:basedOn w:val="Normal"/>
    <w:rPr>
      <w:b/>
      <w:bCs/>
    </w:rPr>
  </w:style>
  <w:style w:type="paragraph" w:customStyle="1" w:styleId="zSoquijdatQtePartieDem">
    <w:name w:val="zSoquij_datQtePartieDem"/>
    <w:basedOn w:val="Normal"/>
    <w:pPr>
      <w:ind w:left="708"/>
    </w:pPr>
  </w:style>
  <w:style w:type="paragraph" w:customStyle="1" w:styleId="zSoquijlblLienParties">
    <w:name w:val="zSoquij_lblLienParties"/>
    <w:basedOn w:val="Normal"/>
  </w:style>
  <w:style w:type="paragraph" w:customStyle="1" w:styleId="zSoquijdatNomPartieDef">
    <w:name w:val="zSoquij_datNomPartieDef"/>
    <w:basedOn w:val="Normal"/>
    <w:rPr>
      <w:b/>
      <w:bCs/>
    </w:rPr>
  </w:style>
  <w:style w:type="paragraph" w:customStyle="1" w:styleId="zSoquijdatQtePartieDef">
    <w:name w:val="zSoquij_datQtePartieDef"/>
    <w:basedOn w:val="Normal"/>
    <w:pPr>
      <w:ind w:left="708"/>
    </w:pPr>
  </w:style>
  <w:style w:type="paragraph" w:customStyle="1" w:styleId="zSoquijlblTypeDocument">
    <w:name w:val="zSoquij_lblTypeDocument"/>
    <w:basedOn w:val="Normal"/>
    <w:pPr>
      <w:jc w:val="center"/>
    </w:pPr>
  </w:style>
  <w:style w:type="paragraph" w:customStyle="1" w:styleId="zSoquijlblProcureurDem">
    <w:name w:val="zSoquij_lblProcureurDem"/>
    <w:basedOn w:val="Normal"/>
  </w:style>
  <w:style w:type="paragraph" w:customStyle="1" w:styleId="zSoquijlblProcureurDef">
    <w:name w:val="zSoquij_lblProcureurDef"/>
    <w:basedOn w:val="Normal"/>
  </w:style>
  <w:style w:type="paragraph" w:customStyle="1" w:styleId="zSoquijlblDateAudience">
    <w:name w:val="zSoquij_lblDateAudience"/>
    <w:basedOn w:val="Normal"/>
  </w:style>
  <w:style w:type="paragraph" w:customStyle="1" w:styleId="zSoquijdatDateAudience">
    <w:name w:val="zSoquij_datDateAudience"/>
    <w:basedOn w:val="Normal"/>
  </w:style>
  <w:style w:type="paragraph" w:customStyle="1" w:styleId="zSoquijlblNomChambre">
    <w:name w:val="zSoquij_lblNomChambre"/>
    <w:basedOn w:val="Normal"/>
  </w:style>
  <w:style w:type="paragraph" w:customStyle="1" w:styleId="zSoquijlblOpinionJuge">
    <w:name w:val="zSoquij_lblOpinionJuge"/>
    <w:basedOn w:val="Normal"/>
    <w:pPr>
      <w:jc w:val="center"/>
    </w:pPr>
  </w:style>
  <w:style w:type="character" w:customStyle="1" w:styleId="zSoquijlblEntNoDossier">
    <w:name w:val="zSoquij_lblEntNoDossier"/>
    <w:basedOn w:val="Policepardfaut"/>
    <w:rPr>
      <w:noProof w:val="0"/>
      <w:lang w:val="fr-CA"/>
    </w:rPr>
  </w:style>
  <w:style w:type="paragraph" w:customStyle="1" w:styleId="zSoquijlblTitrePartie">
    <w:name w:val="zSoquij_lblTitrePartie"/>
    <w:basedOn w:val="Normal"/>
  </w:style>
  <w:style w:type="paragraph" w:customStyle="1" w:styleId="zSoquijdatIdJuge">
    <w:name w:val="zSoquij_datIdJuge"/>
    <w:basedOn w:val="Normal"/>
    <w:pPr>
      <w:jc w:val="right"/>
    </w:pPr>
  </w:style>
  <w:style w:type="paragraph" w:customStyle="1" w:styleId="Sous-paragraphe">
    <w:name w:val="Sous-paragraphe"/>
    <w:basedOn w:val="Normal"/>
    <w:qFormat/>
    <w:pPr>
      <w:widowControl w:val="0"/>
      <w:numPr>
        <w:ilvl w:val="1"/>
        <w:numId w:val="18"/>
      </w:numPr>
      <w:spacing w:after="120"/>
      <w:jc w:val="both"/>
    </w:pPr>
    <w:rPr>
      <w:kern w:val="28"/>
    </w:rPr>
  </w:style>
  <w:style w:type="paragraph" w:customStyle="1" w:styleId="zSoquijdatNomProcureurDem">
    <w:name w:val="zSoquij_datNomProcureurDem"/>
    <w:basedOn w:val="zSoquijlblProcureurDem"/>
    <w:pPr>
      <w:keepNext/>
    </w:pPr>
  </w:style>
  <w:style w:type="paragraph" w:customStyle="1" w:styleId="zSoquijdatNomProcureurDef">
    <w:name w:val="zSoquij_datNomProcureurDef"/>
    <w:basedOn w:val="zSoquijlblProcureurDef"/>
    <w:pPr>
      <w:keepNext/>
    </w:pPr>
  </w:style>
  <w:style w:type="paragraph" w:customStyle="1" w:styleId="zSoquijdatCabinetProcureurDem">
    <w:name w:val="zSoquij_datCabinetProcureurDem"/>
    <w:basedOn w:val="Normal"/>
    <w:pPr>
      <w:keepNext/>
    </w:pPr>
  </w:style>
  <w:style w:type="paragraph" w:customStyle="1" w:styleId="zSoquijdatCabinetProcureurDef">
    <w:name w:val="zSoquij_datCabinetProcureurDef"/>
    <w:basedOn w:val="zSoquijlblProcureurDef"/>
    <w:pPr>
      <w:keepNext/>
    </w:pPr>
  </w:style>
  <w:style w:type="paragraph" w:styleId="En-tte">
    <w:name w:val="header"/>
    <w:basedOn w:val="Normal"/>
    <w:semiHidden/>
    <w:pPr>
      <w:tabs>
        <w:tab w:val="center" w:pos="4320"/>
        <w:tab w:val="right" w:pos="8640"/>
      </w:tabs>
    </w:pPr>
  </w:style>
  <w:style w:type="paragraph" w:styleId="Pieddepage">
    <w:name w:val="footer"/>
    <w:basedOn w:val="Normal"/>
    <w:semiHidden/>
    <w:pPr>
      <w:tabs>
        <w:tab w:val="center" w:pos="4320"/>
        <w:tab w:val="right" w:pos="8640"/>
      </w:tabs>
    </w:pPr>
  </w:style>
  <w:style w:type="paragraph" w:customStyle="1" w:styleId="Tableaudroiteanglais">
    <w:name w:val="Tableau droite anglais"/>
    <w:basedOn w:val="Tableaugauchefranais"/>
    <w:pPr>
      <w:ind w:left="144" w:right="720"/>
      <w:jc w:val="both"/>
    </w:pPr>
    <w:rPr>
      <w:lang w:val="en-CA"/>
    </w:rPr>
  </w:style>
  <w:style w:type="paragraph" w:customStyle="1" w:styleId="Tableaugauchefranais">
    <w:name w:val="Tableau gauche français"/>
    <w:basedOn w:val="Normal"/>
    <w:pPr>
      <w:ind w:left="720" w:right="144"/>
    </w:pPr>
    <w:rPr>
      <w:sz w:val="22"/>
    </w:rPr>
  </w:style>
  <w:style w:type="character" w:styleId="Appelnotedebasdep">
    <w:name w:val="footnote reference"/>
    <w:semiHidden/>
    <w:rPr>
      <w:noProof w:val="0"/>
      <w:vertAlign w:val="superscript"/>
      <w:lang w:val="fr-CA"/>
    </w:rPr>
  </w:style>
  <w:style w:type="paragraph" w:styleId="Corpsdetexte3">
    <w:name w:val="Body Text 3"/>
    <w:basedOn w:val="Normal"/>
    <w:semiHidden/>
    <w:pPr>
      <w:spacing w:after="120"/>
    </w:pPr>
    <w:rPr>
      <w:sz w:val="16"/>
    </w:rPr>
  </w:style>
  <w:style w:type="paragraph" w:customStyle="1" w:styleId="zSoquijdatRepertorie">
    <w:name w:val="zSoquij_datRepertorie"/>
    <w:basedOn w:val="zSoquijlblCour"/>
    <w:pPr>
      <w:spacing w:line="240" w:lineRule="auto"/>
      <w:jc w:val="left"/>
    </w:pPr>
    <w:rPr>
      <w:sz w:val="22"/>
    </w:rPr>
  </w:style>
  <w:style w:type="paragraph" w:customStyle="1" w:styleId="zSoquijdatRefNeutre">
    <w:name w:val="zSoquij_datRefNeutre"/>
    <w:basedOn w:val="zSoquijlblCour"/>
    <w:pPr>
      <w:spacing w:line="240" w:lineRule="auto"/>
      <w:jc w:val="left"/>
    </w:pPr>
    <w:rPr>
      <w:sz w:val="22"/>
    </w:rPr>
  </w:style>
  <w:style w:type="table" w:styleId="Grilledutableau">
    <w:name w:val="Table Grid"/>
    <w:basedOn w:val="TableauNormal"/>
    <w:uiPriority w:val="39"/>
    <w:rsid w:val="00E20E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3E3239"/>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E3239"/>
    <w:rPr>
      <w:rFonts w:ascii="Segoe UI" w:hAnsi="Segoe UI" w:cs="Segoe UI"/>
      <w:sz w:val="18"/>
      <w:szCs w:val="18"/>
      <w:lang w:eastAsia="fr-FR"/>
    </w:rPr>
  </w:style>
  <w:style w:type="character" w:customStyle="1" w:styleId="Titre2Car">
    <w:name w:val="Titre 2 Car"/>
    <w:basedOn w:val="Policepardfaut"/>
    <w:link w:val="Titre2"/>
    <w:rsid w:val="00B92B76"/>
    <w:rPr>
      <w:rFonts w:ascii="Arial" w:hAnsi="Arial"/>
      <w:b/>
      <w:i/>
      <w:sz w:val="24"/>
      <w:lang w:eastAsia="fr-FR"/>
    </w:rPr>
  </w:style>
  <w:style w:type="character" w:customStyle="1" w:styleId="ParagrapheCar">
    <w:name w:val="Paragraphe Car"/>
    <w:link w:val="Paragraphe"/>
    <w:qFormat/>
    <w:locked/>
    <w:rsid w:val="00B92B76"/>
    <w:rPr>
      <w:rFonts w:ascii="Arial" w:hAnsi="Arial"/>
      <w:kern w:val="28"/>
      <w:sz w:val="24"/>
      <w:lang w:eastAsia="fr-FR"/>
    </w:rPr>
  </w:style>
  <w:style w:type="character" w:customStyle="1" w:styleId="CitationenretraitCar">
    <w:name w:val="Citation en retrait Car"/>
    <w:link w:val="Citationenretrait"/>
    <w:locked/>
    <w:rsid w:val="00B92B76"/>
    <w:rPr>
      <w:rFonts w:ascii="Arial" w:hAnsi="Arial"/>
      <w:kern w:val="24"/>
      <w:sz w:val="22"/>
      <w:lang w:eastAsia="fr-FR"/>
    </w:rPr>
  </w:style>
  <w:style w:type="character" w:customStyle="1" w:styleId="canliisubsection">
    <w:name w:val="canlii_subsection"/>
    <w:basedOn w:val="Policepardfaut"/>
    <w:rsid w:val="00B92B76"/>
  </w:style>
  <w:style w:type="character" w:customStyle="1" w:styleId="lawlabel">
    <w:name w:val="lawlabel"/>
    <w:basedOn w:val="Policepardfaut"/>
    <w:rsid w:val="00B92B76"/>
  </w:style>
  <w:style w:type="paragraph" w:customStyle="1" w:styleId="Default">
    <w:name w:val="Default"/>
    <w:rsid w:val="00B92B76"/>
    <w:pPr>
      <w:autoSpaceDE w:val="0"/>
      <w:autoSpaceDN w:val="0"/>
      <w:adjustRightInd w:val="0"/>
    </w:pPr>
    <w:rPr>
      <w:rFonts w:ascii="Arial" w:hAnsi="Arial" w:cs="Arial"/>
      <w:color w:val="000000"/>
      <w:sz w:val="24"/>
      <w:szCs w:val="24"/>
    </w:rPr>
  </w:style>
  <w:style w:type="character" w:styleId="Marquedecommentaire">
    <w:name w:val="annotation reference"/>
    <w:basedOn w:val="Policepardfaut"/>
    <w:uiPriority w:val="99"/>
    <w:semiHidden/>
    <w:unhideWhenUsed/>
    <w:rsid w:val="00B92B76"/>
    <w:rPr>
      <w:sz w:val="16"/>
      <w:szCs w:val="16"/>
    </w:rPr>
  </w:style>
  <w:style w:type="paragraph" w:styleId="Commentaire">
    <w:name w:val="annotation text"/>
    <w:basedOn w:val="Normal"/>
    <w:link w:val="CommentaireCar"/>
    <w:uiPriority w:val="99"/>
    <w:unhideWhenUsed/>
    <w:rsid w:val="00B92B76"/>
    <w:pPr>
      <w:spacing w:line="240" w:lineRule="auto"/>
    </w:pPr>
    <w:rPr>
      <w:sz w:val="20"/>
    </w:rPr>
  </w:style>
  <w:style w:type="character" w:customStyle="1" w:styleId="CommentaireCar">
    <w:name w:val="Commentaire Car"/>
    <w:basedOn w:val="Policepardfaut"/>
    <w:link w:val="Commentaire"/>
    <w:uiPriority w:val="99"/>
    <w:rsid w:val="00B92B76"/>
    <w:rPr>
      <w:rFonts w:ascii="Arial" w:hAnsi="Arial"/>
      <w:lang w:eastAsia="fr-FR"/>
    </w:rPr>
  </w:style>
  <w:style w:type="paragraph" w:styleId="Objetducommentaire">
    <w:name w:val="annotation subject"/>
    <w:basedOn w:val="Commentaire"/>
    <w:next w:val="Commentaire"/>
    <w:link w:val="ObjetducommentaireCar"/>
    <w:uiPriority w:val="99"/>
    <w:semiHidden/>
    <w:unhideWhenUsed/>
    <w:rsid w:val="00B92B76"/>
    <w:rPr>
      <w:b/>
      <w:bCs/>
    </w:rPr>
  </w:style>
  <w:style w:type="character" w:customStyle="1" w:styleId="ObjetducommentaireCar">
    <w:name w:val="Objet du commentaire Car"/>
    <w:basedOn w:val="CommentaireCar"/>
    <w:link w:val="Objetducommentaire"/>
    <w:uiPriority w:val="99"/>
    <w:semiHidden/>
    <w:rsid w:val="00B92B76"/>
    <w:rPr>
      <w:rFonts w:ascii="Arial" w:hAnsi="Arial"/>
      <w:b/>
      <w:bCs/>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796CD-A5C4-4C51-87C5-308207439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6279</Words>
  <Characters>34540</Characters>
  <Application>Microsoft Office Word</Application>
  <DocSecurity>0</DocSecurity>
  <Lines>287</Lines>
  <Paragraphs>81</Paragraphs>
  <ScaleCrop>false</ScaleCrop>
  <Company/>
  <LinksUpToDate>false</LinksUpToDate>
  <CharactersWithSpaces>40738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2021-04-01T17:13:00Z</dcterms:created>
  <dcterms:modified xsi:type="dcterms:W3CDTF">2021-04-01T17:13:00Z</dcterms:modified>
</cp:coreProperties>
</file>